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196" w:rsidRDefault="00134CC6" w:rsidP="00134CC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sz w:val="48"/>
          <w:szCs w:val="48"/>
        </w:rPr>
      </w:pPr>
      <w:r>
        <w:rPr>
          <w:rFonts w:ascii="French Script MT" w:hAnsi="French Script MT"/>
          <w:b/>
          <w:sz w:val="48"/>
          <w:szCs w:val="48"/>
        </w:rPr>
        <w:t>These Perilous Times</w:t>
      </w:r>
    </w:p>
    <w:p w:rsidR="00134CC6" w:rsidRDefault="00134CC6" w:rsidP="00134CC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sz w:val="48"/>
          <w:szCs w:val="48"/>
        </w:rPr>
      </w:pPr>
      <w:r>
        <w:rPr>
          <w:rFonts w:ascii="French Script MT" w:hAnsi="French Script MT"/>
          <w:b/>
          <w:sz w:val="48"/>
          <w:szCs w:val="48"/>
        </w:rPr>
        <w:t>Vol. 11, No. 23, Dec. 7, 2019</w:t>
      </w:r>
    </w:p>
    <w:p w:rsidR="00134CC6" w:rsidRPr="00134CC6" w:rsidRDefault="00134CC6" w:rsidP="00134CC6">
      <w:pPr>
        <w:tabs>
          <w:tab w:val="left" w:pos="1119"/>
        </w:tabs>
        <w:spacing w:after="0"/>
        <w:rPr>
          <w:rFonts w:ascii="Book Antiqua" w:hAnsi="Book Antiqua"/>
          <w:sz w:val="20"/>
          <w:szCs w:val="20"/>
        </w:rPr>
      </w:pPr>
      <w:r>
        <w:rPr>
          <w:rFonts w:ascii="French Script MT" w:hAnsi="French Script MT"/>
          <w:sz w:val="48"/>
          <w:szCs w:val="48"/>
        </w:rPr>
        <w:tab/>
      </w:r>
    </w:p>
    <w:p w:rsidR="00134CC6" w:rsidRDefault="00134CC6" w:rsidP="00134CC6">
      <w:pPr>
        <w:tabs>
          <w:tab w:val="left" w:pos="1119"/>
        </w:tabs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“</w:t>
      </w:r>
      <w:r w:rsidRPr="00134CC6">
        <w:rPr>
          <w:rFonts w:ascii="Book Antiqua" w:hAnsi="Book Antiqua"/>
          <w:b/>
          <w:sz w:val="28"/>
          <w:szCs w:val="28"/>
        </w:rPr>
        <w:t>Lessons from the Time of Elijah</w:t>
      </w:r>
      <w:r>
        <w:rPr>
          <w:rFonts w:ascii="Book Antiqua" w:hAnsi="Book Antiqua"/>
          <w:b/>
          <w:sz w:val="28"/>
          <w:szCs w:val="28"/>
        </w:rPr>
        <w:t>”</w:t>
      </w:r>
    </w:p>
    <w:p w:rsidR="00645196" w:rsidRDefault="00645196" w:rsidP="00645196">
      <w:pPr>
        <w:tabs>
          <w:tab w:val="left" w:pos="1119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“In the days of Elijah there was great apostasy in Israel. Ahab the king had connected </w:t>
      </w:r>
      <w:r w:rsidR="00AE2790">
        <w:rPr>
          <w:rFonts w:ascii="Book Antiqua" w:hAnsi="Book Antiqua"/>
          <w:sz w:val="28"/>
          <w:szCs w:val="28"/>
        </w:rPr>
        <w:t>with himself</w:t>
      </w:r>
      <w:r>
        <w:rPr>
          <w:rFonts w:ascii="Book Antiqua" w:hAnsi="Book Antiqua"/>
          <w:sz w:val="28"/>
          <w:szCs w:val="28"/>
        </w:rPr>
        <w:t xml:space="preserve"> men and women who had departed from the living God, and turned to the service of Idols.</w:t>
      </w:r>
    </w:p>
    <w:p w:rsidR="00645196" w:rsidRDefault="00645196" w:rsidP="00645196">
      <w:pPr>
        <w:tabs>
          <w:tab w:val="left" w:pos="1119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The king should have been loyal to God, one by both influence and example would have bound his people to God; but instead of this he joined with apostates, and led the people into idolatry.</w:t>
      </w:r>
    </w:p>
    <w:p w:rsidR="00645196" w:rsidRDefault="00645196" w:rsidP="00645196">
      <w:pPr>
        <w:tabs>
          <w:tab w:val="left" w:pos="1119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Pr="00CD29CB">
        <w:rPr>
          <w:rFonts w:ascii="Book Antiqua" w:hAnsi="Book Antiqua"/>
          <w:i/>
          <w:sz w:val="28"/>
          <w:szCs w:val="28"/>
        </w:rPr>
        <w:t>Leading men are endowed with great influence</w:t>
      </w:r>
      <w:r w:rsidR="008961C3">
        <w:rPr>
          <w:rFonts w:ascii="Book Antiqua" w:hAnsi="Book Antiqua"/>
          <w:sz w:val="28"/>
          <w:szCs w:val="28"/>
        </w:rPr>
        <w:t xml:space="preserve"> </w:t>
      </w:r>
      <w:r w:rsidR="008961C3" w:rsidRPr="00CD29CB">
        <w:rPr>
          <w:rFonts w:ascii="Book Antiqua" w:hAnsi="Book Antiqua"/>
          <w:sz w:val="28"/>
          <w:szCs w:val="28"/>
          <w:u w:val="single"/>
        </w:rPr>
        <w:t>for good or evil</w:t>
      </w:r>
      <w:r w:rsidR="008961C3">
        <w:rPr>
          <w:rFonts w:ascii="Book Antiqua" w:hAnsi="Book Antiqua"/>
          <w:sz w:val="28"/>
          <w:szCs w:val="28"/>
        </w:rPr>
        <w:t xml:space="preserve">, and </w:t>
      </w:r>
      <w:r w:rsidR="008961C3" w:rsidRPr="00CD29CB">
        <w:rPr>
          <w:rFonts w:ascii="Book Antiqua" w:hAnsi="Book Antiqua"/>
          <w:sz w:val="28"/>
          <w:szCs w:val="28"/>
          <w:u w:val="single"/>
        </w:rPr>
        <w:t>their responsibility is very great</w:t>
      </w:r>
      <w:r w:rsidR="008961C3">
        <w:rPr>
          <w:rFonts w:ascii="Book Antiqua" w:hAnsi="Book Antiqua"/>
          <w:sz w:val="28"/>
          <w:szCs w:val="28"/>
        </w:rPr>
        <w:t>. Ahab had used his influence to propagate evil, and Israel sank deeper and deeper into sin.</w:t>
      </w:r>
    </w:p>
    <w:p w:rsidR="008961C3" w:rsidRDefault="008961C3" w:rsidP="00645196">
      <w:pPr>
        <w:tabs>
          <w:tab w:val="left" w:pos="1119"/>
        </w:tabs>
        <w:spacing w:after="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8"/>
          <w:szCs w:val="28"/>
        </w:rPr>
        <w:t xml:space="preserve">    Elijah was a worshiper of the living God, and his soul was stirred within him as he saw apostasy prevail, and the people of God follow the cus</w:t>
      </w:r>
      <w:r w:rsidR="00E36117">
        <w:rPr>
          <w:rFonts w:ascii="Book Antiqua" w:hAnsi="Book Antiqua"/>
          <w:sz w:val="28"/>
          <w:szCs w:val="28"/>
        </w:rPr>
        <w:t>toms of the nations around them</w:t>
      </w:r>
      <w:r>
        <w:rPr>
          <w:rFonts w:ascii="Book Antiqua" w:hAnsi="Book Antiqua"/>
          <w:sz w:val="28"/>
          <w:szCs w:val="28"/>
        </w:rPr>
        <w:t xml:space="preserve"> “</w:t>
      </w:r>
      <w:r>
        <w:rPr>
          <w:rStyle w:val="FootnoteReference"/>
          <w:rFonts w:ascii="Book Antiqua" w:hAnsi="Book Antiqua"/>
          <w:sz w:val="28"/>
          <w:szCs w:val="28"/>
        </w:rPr>
        <w:footnoteReference w:id="1"/>
      </w:r>
      <w:r w:rsidR="00E36117">
        <w:rPr>
          <w:rFonts w:ascii="Book Antiqua" w:hAnsi="Book Antiqua"/>
          <w:sz w:val="28"/>
          <w:szCs w:val="28"/>
        </w:rPr>
        <w:t xml:space="preserve"> (Emphasis supplied).</w:t>
      </w:r>
    </w:p>
    <w:p w:rsidR="00CD29CB" w:rsidRPr="00CD29CB" w:rsidRDefault="00CD29CB" w:rsidP="00645196">
      <w:pPr>
        <w:tabs>
          <w:tab w:val="left" w:pos="1119"/>
        </w:tabs>
        <w:spacing w:after="0"/>
        <w:jc w:val="both"/>
        <w:rPr>
          <w:rFonts w:ascii="Book Antiqua" w:hAnsi="Book Antiqua"/>
          <w:sz w:val="20"/>
          <w:szCs w:val="20"/>
        </w:rPr>
      </w:pPr>
    </w:p>
    <w:p w:rsidR="00905674" w:rsidRDefault="00905674" w:rsidP="00AE2790">
      <w:pPr>
        <w:tabs>
          <w:tab w:val="left" w:pos="1119"/>
        </w:tabs>
        <w:spacing w:after="0"/>
        <w:jc w:val="center"/>
        <w:rPr>
          <w:rFonts w:ascii="Book Antiqua" w:hAnsi="Book Antiqua"/>
          <w:b/>
          <w:sz w:val="20"/>
          <w:szCs w:val="20"/>
        </w:rPr>
      </w:pPr>
      <w:r w:rsidRPr="00AE2790">
        <w:rPr>
          <w:rFonts w:ascii="Book Antiqua" w:hAnsi="Book Antiqua"/>
          <w:b/>
          <w:sz w:val="28"/>
          <w:szCs w:val="28"/>
        </w:rPr>
        <w:t>What does this mean for us</w:t>
      </w:r>
      <w:r w:rsidR="00AE2790" w:rsidRPr="00AE2790">
        <w:rPr>
          <w:rFonts w:ascii="Book Antiqua" w:hAnsi="Book Antiqua"/>
          <w:b/>
          <w:sz w:val="28"/>
          <w:szCs w:val="28"/>
        </w:rPr>
        <w:t>?</w:t>
      </w:r>
    </w:p>
    <w:p w:rsidR="00AE2790" w:rsidRPr="00AE2790" w:rsidRDefault="00AE2790" w:rsidP="00AE2790">
      <w:pPr>
        <w:tabs>
          <w:tab w:val="left" w:pos="1119"/>
        </w:tabs>
        <w:spacing w:after="0"/>
        <w:jc w:val="center"/>
        <w:rPr>
          <w:rFonts w:ascii="Book Antiqua" w:hAnsi="Book Antiqua"/>
          <w:b/>
          <w:sz w:val="20"/>
          <w:szCs w:val="20"/>
        </w:rPr>
      </w:pPr>
    </w:p>
    <w:p w:rsidR="00AE2790" w:rsidRPr="00AE2790" w:rsidRDefault="00AE2790" w:rsidP="00AE2790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tabs>
          <w:tab w:val="left" w:pos="1119"/>
        </w:tabs>
        <w:spacing w:after="0"/>
        <w:jc w:val="center"/>
        <w:rPr>
          <w:rFonts w:ascii="French Script MT" w:hAnsi="French Script MT"/>
          <w:b/>
          <w:sz w:val="48"/>
          <w:szCs w:val="48"/>
        </w:rPr>
      </w:pPr>
      <w:r w:rsidRPr="00AE2790">
        <w:rPr>
          <w:rFonts w:ascii="French Script MT" w:hAnsi="French Script MT"/>
          <w:b/>
          <w:sz w:val="48"/>
          <w:szCs w:val="48"/>
        </w:rPr>
        <w:t xml:space="preserve">Obvious Signs Do Tell </w:t>
      </w:r>
      <w:proofErr w:type="gramStart"/>
      <w:r w:rsidRPr="00AE2790">
        <w:rPr>
          <w:rFonts w:ascii="French Script MT" w:hAnsi="French Script MT"/>
          <w:b/>
          <w:sz w:val="48"/>
          <w:szCs w:val="48"/>
        </w:rPr>
        <w:t>The</w:t>
      </w:r>
      <w:proofErr w:type="gramEnd"/>
      <w:r w:rsidRPr="00AE2790">
        <w:rPr>
          <w:rFonts w:ascii="French Script MT" w:hAnsi="French Script MT"/>
          <w:b/>
          <w:sz w:val="48"/>
          <w:szCs w:val="48"/>
        </w:rPr>
        <w:t xml:space="preserve"> Season</w:t>
      </w:r>
    </w:p>
    <w:p w:rsidR="00905674" w:rsidRDefault="00905674" w:rsidP="00645196">
      <w:pPr>
        <w:tabs>
          <w:tab w:val="left" w:pos="1119"/>
        </w:tabs>
        <w:spacing w:after="0"/>
        <w:jc w:val="both"/>
        <w:rPr>
          <w:rFonts w:ascii="Book Antiqua" w:hAnsi="Book Antiqua"/>
          <w:sz w:val="20"/>
          <w:szCs w:val="20"/>
        </w:rPr>
      </w:pPr>
    </w:p>
    <w:p w:rsidR="007D6664" w:rsidRDefault="007D6664" w:rsidP="00645196">
      <w:pPr>
        <w:tabs>
          <w:tab w:val="left" w:pos="1119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0"/>
          <w:szCs w:val="20"/>
        </w:rPr>
        <w:t xml:space="preserve">    </w:t>
      </w:r>
      <w:r w:rsidRPr="007D6664">
        <w:rPr>
          <w:rFonts w:ascii="Book Antiqua" w:hAnsi="Book Antiqua"/>
          <w:sz w:val="28"/>
          <w:szCs w:val="28"/>
        </w:rPr>
        <w:t>Question</w:t>
      </w:r>
      <w:r>
        <w:rPr>
          <w:rFonts w:ascii="Book Antiqua" w:hAnsi="Book Antiqua"/>
          <w:sz w:val="28"/>
          <w:szCs w:val="28"/>
        </w:rPr>
        <w:t>: How does it make you feel when you see professed children of God</w:t>
      </w:r>
      <w:r w:rsidR="006D2BC4">
        <w:rPr>
          <w:rFonts w:ascii="Book Antiqua" w:hAnsi="Book Antiqua"/>
          <w:sz w:val="28"/>
          <w:szCs w:val="28"/>
        </w:rPr>
        <w:t xml:space="preserve"> (especially </w:t>
      </w:r>
      <w:r w:rsidR="00B317BF">
        <w:rPr>
          <w:rFonts w:ascii="Book Antiqua" w:hAnsi="Book Antiqua"/>
          <w:sz w:val="28"/>
          <w:szCs w:val="28"/>
        </w:rPr>
        <w:t xml:space="preserve">church </w:t>
      </w:r>
      <w:r w:rsidR="00484728">
        <w:rPr>
          <w:rFonts w:ascii="Book Antiqua" w:hAnsi="Book Antiqua"/>
          <w:sz w:val="28"/>
          <w:szCs w:val="28"/>
        </w:rPr>
        <w:t>leaders apostatizing</w:t>
      </w:r>
      <w:r>
        <w:rPr>
          <w:rFonts w:ascii="Book Antiqua" w:hAnsi="Book Antiqua"/>
          <w:sz w:val="28"/>
          <w:szCs w:val="28"/>
        </w:rPr>
        <w:t>?</w:t>
      </w:r>
      <w:r w:rsidR="00F840CC">
        <w:rPr>
          <w:rFonts w:ascii="Book Antiqua" w:hAnsi="Book Antiqua"/>
          <w:sz w:val="28"/>
          <w:szCs w:val="28"/>
        </w:rPr>
        <w:t xml:space="preserve"> How do you think it make Jesus feel?</w:t>
      </w:r>
      <w:r w:rsidR="00157BAA">
        <w:rPr>
          <w:rFonts w:ascii="Book Antiqua" w:hAnsi="Book Antiqua"/>
          <w:sz w:val="28"/>
          <w:szCs w:val="28"/>
        </w:rPr>
        <w:t xml:space="preserve"> It’s stated in Revelat</w:t>
      </w:r>
      <w:r w:rsidR="003F1300">
        <w:rPr>
          <w:rFonts w:ascii="Book Antiqua" w:hAnsi="Book Antiqua"/>
          <w:sz w:val="28"/>
          <w:szCs w:val="28"/>
        </w:rPr>
        <w:t>ion</w:t>
      </w:r>
      <w:r w:rsidR="00E646AD">
        <w:rPr>
          <w:rFonts w:ascii="Book Antiqua" w:hAnsi="Book Antiqua"/>
          <w:sz w:val="28"/>
          <w:szCs w:val="28"/>
        </w:rPr>
        <w:t xml:space="preserve"> 3:15, 16</w:t>
      </w:r>
      <w:r w:rsidR="003F1300">
        <w:rPr>
          <w:rFonts w:ascii="Book Antiqua" w:hAnsi="Book Antiqua"/>
          <w:sz w:val="28"/>
          <w:szCs w:val="28"/>
        </w:rPr>
        <w:t xml:space="preserve"> that being lukewarm makes J</w:t>
      </w:r>
      <w:r w:rsidR="00157BAA">
        <w:rPr>
          <w:rFonts w:ascii="Book Antiqua" w:hAnsi="Book Antiqua"/>
          <w:sz w:val="28"/>
          <w:szCs w:val="28"/>
        </w:rPr>
        <w:t xml:space="preserve">esus </w:t>
      </w:r>
      <w:r w:rsidR="003F1300">
        <w:rPr>
          <w:rFonts w:ascii="Book Antiqua" w:hAnsi="Book Antiqua"/>
          <w:sz w:val="28"/>
          <w:szCs w:val="28"/>
        </w:rPr>
        <w:t xml:space="preserve">want to </w:t>
      </w:r>
      <w:r w:rsidR="00157BAA">
        <w:rPr>
          <w:rFonts w:ascii="Book Antiqua" w:hAnsi="Book Antiqua"/>
          <w:sz w:val="28"/>
          <w:szCs w:val="28"/>
        </w:rPr>
        <w:t>vomit</w:t>
      </w:r>
      <w:r w:rsidR="003F1300">
        <w:rPr>
          <w:rFonts w:ascii="Book Antiqua" w:hAnsi="Book Antiqua"/>
          <w:sz w:val="28"/>
          <w:szCs w:val="28"/>
        </w:rPr>
        <w:t xml:space="preserve">! </w:t>
      </w:r>
    </w:p>
    <w:p w:rsidR="000E4F23" w:rsidRDefault="00B317BF" w:rsidP="00645196">
      <w:pPr>
        <w:tabs>
          <w:tab w:val="left" w:pos="1119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When Elijah finally confronted </w:t>
      </w:r>
      <w:r w:rsidR="00E646AD">
        <w:rPr>
          <w:rFonts w:ascii="Book Antiqua" w:hAnsi="Book Antiqua"/>
          <w:sz w:val="28"/>
          <w:szCs w:val="28"/>
        </w:rPr>
        <w:t>King</w:t>
      </w:r>
      <w:r>
        <w:rPr>
          <w:rFonts w:ascii="Book Antiqua" w:hAnsi="Book Antiqua"/>
          <w:sz w:val="28"/>
          <w:szCs w:val="28"/>
        </w:rPr>
        <w:t xml:space="preserve"> Ahab, before the showdown on Mount Carmel, </w:t>
      </w:r>
      <w:r w:rsidR="00E646AD">
        <w:rPr>
          <w:rFonts w:ascii="Book Antiqua" w:hAnsi="Book Antiqua"/>
          <w:sz w:val="28"/>
          <w:szCs w:val="28"/>
        </w:rPr>
        <w:t>he was</w:t>
      </w:r>
      <w:r>
        <w:rPr>
          <w:rFonts w:ascii="Book Antiqua" w:hAnsi="Book Antiqua"/>
          <w:sz w:val="28"/>
          <w:szCs w:val="28"/>
        </w:rPr>
        <w:t xml:space="preserve"> deemed the </w:t>
      </w:r>
      <w:r w:rsidRPr="00FC6480">
        <w:rPr>
          <w:rFonts w:ascii="Book Antiqua" w:hAnsi="Book Antiqua"/>
          <w:i/>
          <w:sz w:val="28"/>
          <w:szCs w:val="28"/>
        </w:rPr>
        <w:t>troubler of Israel</w:t>
      </w:r>
      <w:r>
        <w:rPr>
          <w:rFonts w:ascii="Book Antiqua" w:hAnsi="Book Antiqua"/>
          <w:sz w:val="28"/>
          <w:szCs w:val="28"/>
        </w:rPr>
        <w:t>.</w:t>
      </w:r>
      <w:r w:rsidR="000E4F23">
        <w:rPr>
          <w:rFonts w:ascii="Book Antiqua" w:hAnsi="Book Antiqua"/>
          <w:sz w:val="28"/>
          <w:szCs w:val="28"/>
        </w:rPr>
        <w:t xml:space="preserve"> Before the sacrifice</w:t>
      </w:r>
      <w:r w:rsidR="00236E33">
        <w:rPr>
          <w:rFonts w:ascii="Book Antiqua" w:hAnsi="Book Antiqua"/>
          <w:sz w:val="28"/>
          <w:szCs w:val="28"/>
        </w:rPr>
        <w:t xml:space="preserve"> </w:t>
      </w:r>
      <w:r w:rsidR="002E3D0D">
        <w:rPr>
          <w:rFonts w:ascii="Book Antiqua" w:hAnsi="Book Antiqua"/>
          <w:sz w:val="28"/>
          <w:szCs w:val="28"/>
        </w:rPr>
        <w:t xml:space="preserve">was </w:t>
      </w:r>
      <w:r w:rsidR="00236E33">
        <w:rPr>
          <w:rFonts w:ascii="Book Antiqua" w:hAnsi="Book Antiqua"/>
          <w:sz w:val="28"/>
          <w:szCs w:val="28"/>
        </w:rPr>
        <w:t>offered</w:t>
      </w:r>
      <w:r w:rsidR="000E4F23">
        <w:rPr>
          <w:rFonts w:ascii="Book Antiqua" w:hAnsi="Book Antiqua"/>
          <w:sz w:val="28"/>
          <w:szCs w:val="28"/>
        </w:rPr>
        <w:t>, Elijah asked</w:t>
      </w:r>
      <w:r w:rsidR="00236E33">
        <w:rPr>
          <w:rFonts w:ascii="Book Antiqua" w:hAnsi="Book Antiqua"/>
          <w:sz w:val="28"/>
          <w:szCs w:val="28"/>
        </w:rPr>
        <w:t xml:space="preserve"> God’s professed people</w:t>
      </w:r>
      <w:r w:rsidR="000E4F23">
        <w:rPr>
          <w:rFonts w:ascii="Book Antiqua" w:hAnsi="Book Antiqua"/>
          <w:sz w:val="28"/>
          <w:szCs w:val="28"/>
        </w:rPr>
        <w:t xml:space="preserve">, “How long halt ye between two opinions? </w:t>
      </w:r>
      <w:r w:rsidR="000E4F23" w:rsidRPr="002E3D0D">
        <w:rPr>
          <w:rFonts w:ascii="Book Antiqua" w:hAnsi="Book Antiqua"/>
          <w:i/>
          <w:sz w:val="28"/>
          <w:szCs w:val="28"/>
        </w:rPr>
        <w:t>If the Lord be God</w:t>
      </w:r>
      <w:r w:rsidR="000E4F23">
        <w:rPr>
          <w:rFonts w:ascii="Book Antiqua" w:hAnsi="Book Antiqua"/>
          <w:sz w:val="28"/>
          <w:szCs w:val="28"/>
        </w:rPr>
        <w:t xml:space="preserve">, </w:t>
      </w:r>
      <w:r w:rsidR="000E4F23" w:rsidRPr="002E3D0D">
        <w:rPr>
          <w:rFonts w:ascii="Book Antiqua" w:hAnsi="Book Antiqua"/>
          <w:i/>
          <w:sz w:val="28"/>
          <w:szCs w:val="28"/>
        </w:rPr>
        <w:t xml:space="preserve">follow </w:t>
      </w:r>
      <w:r w:rsidR="005D17FC" w:rsidRPr="002E3D0D">
        <w:rPr>
          <w:rFonts w:ascii="Book Antiqua" w:hAnsi="Book Antiqua"/>
          <w:i/>
          <w:sz w:val="28"/>
          <w:szCs w:val="28"/>
        </w:rPr>
        <w:t>him</w:t>
      </w:r>
      <w:r w:rsidR="005D17FC">
        <w:rPr>
          <w:rFonts w:ascii="Book Antiqua" w:hAnsi="Book Antiqua"/>
          <w:sz w:val="28"/>
          <w:szCs w:val="28"/>
        </w:rPr>
        <w:t xml:space="preserve">: but if Baal, follow Him.... </w:t>
      </w:r>
      <w:r w:rsidR="000E4F23">
        <w:rPr>
          <w:rFonts w:ascii="Book Antiqua" w:hAnsi="Book Antiqua"/>
          <w:sz w:val="28"/>
          <w:szCs w:val="28"/>
        </w:rPr>
        <w:t>There are many lessons to be drawn from the e</w:t>
      </w:r>
      <w:r w:rsidR="00FC6480">
        <w:rPr>
          <w:rFonts w:ascii="Book Antiqua" w:hAnsi="Book Antiqua"/>
          <w:sz w:val="28"/>
          <w:szCs w:val="28"/>
        </w:rPr>
        <w:t>xperie</w:t>
      </w:r>
      <w:r w:rsidR="005D17FC">
        <w:rPr>
          <w:rFonts w:ascii="Book Antiqua" w:hAnsi="Book Antiqua"/>
          <w:sz w:val="28"/>
          <w:szCs w:val="28"/>
        </w:rPr>
        <w:t>nce of Israel, and the prophet of</w:t>
      </w:r>
      <w:r w:rsidR="00FC6480">
        <w:rPr>
          <w:rFonts w:ascii="Book Antiqua" w:hAnsi="Book Antiqua"/>
          <w:sz w:val="28"/>
          <w:szCs w:val="28"/>
        </w:rPr>
        <w:t xml:space="preserve"> God.</w:t>
      </w:r>
    </w:p>
    <w:p w:rsidR="005D17FC" w:rsidRDefault="005D17FC" w:rsidP="00645196">
      <w:pPr>
        <w:tabs>
          <w:tab w:val="left" w:pos="1119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We are living in a time of apostasy similar to that of the time of Elijah, for there is great religious declension in the churches, among the professed people of God. </w:t>
      </w:r>
      <w:r w:rsidR="002E3D0D">
        <w:rPr>
          <w:rFonts w:ascii="Book Antiqua" w:hAnsi="Book Antiqua"/>
          <w:sz w:val="28"/>
          <w:szCs w:val="28"/>
        </w:rPr>
        <w:t>The children of G</w:t>
      </w:r>
      <w:r w:rsidR="00B076BB">
        <w:rPr>
          <w:rFonts w:ascii="Book Antiqua" w:hAnsi="Book Antiqua"/>
          <w:sz w:val="28"/>
          <w:szCs w:val="28"/>
        </w:rPr>
        <w:t xml:space="preserve">od </w:t>
      </w:r>
      <w:r w:rsidR="00B076BB">
        <w:rPr>
          <w:rFonts w:ascii="Book Antiqua" w:hAnsi="Book Antiqua"/>
          <w:sz w:val="28"/>
          <w:szCs w:val="28"/>
        </w:rPr>
        <w:lastRenderedPageBreak/>
        <w:t>should have a realization of there accountability, and should direct their hearts toward God, seeking for strength and grace with an earnest</w:t>
      </w:r>
      <w:r w:rsidR="002E3D0D">
        <w:rPr>
          <w:rFonts w:ascii="Book Antiqua" w:hAnsi="Book Antiqua"/>
          <w:sz w:val="28"/>
          <w:szCs w:val="28"/>
        </w:rPr>
        <w:t>ness</w:t>
      </w:r>
      <w:r w:rsidR="00B076BB">
        <w:rPr>
          <w:rFonts w:ascii="Book Antiqua" w:hAnsi="Book Antiqua"/>
          <w:sz w:val="28"/>
          <w:szCs w:val="28"/>
        </w:rPr>
        <w:t xml:space="preserve"> which </w:t>
      </w:r>
      <w:r w:rsidR="00292A7A">
        <w:rPr>
          <w:rFonts w:ascii="Book Antiqua" w:hAnsi="Book Antiqua"/>
          <w:sz w:val="28"/>
          <w:szCs w:val="28"/>
        </w:rPr>
        <w:t>they have</w:t>
      </w:r>
      <w:r w:rsidR="00B076BB">
        <w:rPr>
          <w:rFonts w:ascii="Book Antiqua" w:hAnsi="Book Antiqua"/>
          <w:sz w:val="28"/>
          <w:szCs w:val="28"/>
        </w:rPr>
        <w:t xml:space="preserve"> never before manifested.” </w:t>
      </w:r>
      <w:r w:rsidR="00B076BB">
        <w:rPr>
          <w:rStyle w:val="FootnoteReference"/>
          <w:rFonts w:ascii="Book Antiqua" w:hAnsi="Book Antiqua"/>
          <w:sz w:val="28"/>
          <w:szCs w:val="28"/>
        </w:rPr>
        <w:footnoteReference w:id="2"/>
      </w:r>
    </w:p>
    <w:p w:rsidR="00292A7A" w:rsidRPr="00466547" w:rsidRDefault="00292A7A" w:rsidP="00645196">
      <w:pPr>
        <w:tabs>
          <w:tab w:val="left" w:pos="1119"/>
        </w:tabs>
        <w:spacing w:after="0"/>
        <w:jc w:val="both"/>
        <w:rPr>
          <w:rFonts w:ascii="Book Antiqua" w:hAnsi="Book Antiqua"/>
          <w:sz w:val="20"/>
          <w:szCs w:val="20"/>
        </w:rPr>
      </w:pPr>
    </w:p>
    <w:p w:rsidR="00292A7A" w:rsidRDefault="00292A7A" w:rsidP="00466547">
      <w:pPr>
        <w:tabs>
          <w:tab w:val="left" w:pos="1119"/>
        </w:tabs>
        <w:spacing w:after="0"/>
        <w:jc w:val="center"/>
        <w:rPr>
          <w:rFonts w:ascii="Book Antiqua" w:hAnsi="Book Antiqua"/>
          <w:b/>
          <w:sz w:val="28"/>
          <w:szCs w:val="28"/>
        </w:rPr>
      </w:pPr>
      <w:r w:rsidRPr="00466547">
        <w:rPr>
          <w:rFonts w:ascii="Book Antiqua" w:hAnsi="Book Antiqua"/>
          <w:b/>
          <w:sz w:val="28"/>
          <w:szCs w:val="28"/>
        </w:rPr>
        <w:t xml:space="preserve">Please </w:t>
      </w:r>
      <w:r w:rsidR="001F36F6">
        <w:rPr>
          <w:rFonts w:ascii="Book Antiqua" w:hAnsi="Book Antiqua"/>
          <w:b/>
          <w:sz w:val="28"/>
          <w:szCs w:val="28"/>
        </w:rPr>
        <w:t>spend time contemplating</w:t>
      </w:r>
      <w:r w:rsidRPr="00466547">
        <w:rPr>
          <w:rFonts w:ascii="Book Antiqua" w:hAnsi="Book Antiqua"/>
          <w:b/>
          <w:sz w:val="28"/>
          <w:szCs w:val="28"/>
        </w:rPr>
        <w:t xml:space="preserve"> the follow</w:t>
      </w:r>
      <w:r w:rsidR="00466547" w:rsidRPr="00466547">
        <w:rPr>
          <w:rFonts w:ascii="Book Antiqua" w:hAnsi="Book Antiqua"/>
          <w:b/>
          <w:sz w:val="28"/>
          <w:szCs w:val="28"/>
        </w:rPr>
        <w:t>ing</w:t>
      </w:r>
      <w:r w:rsidRPr="00466547">
        <w:rPr>
          <w:rFonts w:ascii="Book Antiqua" w:hAnsi="Book Antiqua"/>
          <w:b/>
          <w:sz w:val="28"/>
          <w:szCs w:val="28"/>
        </w:rPr>
        <w:t xml:space="preserve"> tex</w:t>
      </w:r>
      <w:r w:rsidR="00466547" w:rsidRPr="00466547">
        <w:rPr>
          <w:rFonts w:ascii="Book Antiqua" w:hAnsi="Book Antiqua"/>
          <w:b/>
          <w:sz w:val="28"/>
          <w:szCs w:val="28"/>
        </w:rPr>
        <w:t>ts</w:t>
      </w:r>
    </w:p>
    <w:p w:rsidR="009F51E4" w:rsidRPr="009F51E4" w:rsidRDefault="009F51E4" w:rsidP="00466547">
      <w:pPr>
        <w:tabs>
          <w:tab w:val="left" w:pos="1119"/>
        </w:tabs>
        <w:spacing w:after="0"/>
        <w:jc w:val="center"/>
        <w:rPr>
          <w:rFonts w:ascii="Book Antiqua" w:hAnsi="Book Antiqua"/>
          <w:b/>
          <w:sz w:val="20"/>
          <w:szCs w:val="20"/>
        </w:rPr>
      </w:pPr>
    </w:p>
    <w:p w:rsidR="009F51E4" w:rsidRPr="009F51E4" w:rsidRDefault="009F51E4" w:rsidP="009F51E4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1119"/>
        </w:tabs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“... For unto whomever much is given, of him shall much be required: and to whom men have committed much, of him they will ask the more...” Luke 12:48</w:t>
      </w:r>
    </w:p>
    <w:p w:rsidR="005D17FC" w:rsidRPr="001F36F6" w:rsidRDefault="005D17FC" w:rsidP="00645196">
      <w:pPr>
        <w:tabs>
          <w:tab w:val="left" w:pos="1119"/>
        </w:tabs>
        <w:spacing w:after="0"/>
        <w:jc w:val="both"/>
        <w:rPr>
          <w:rFonts w:ascii="Book Antiqua" w:hAnsi="Book Antiqua"/>
          <w:sz w:val="20"/>
          <w:szCs w:val="20"/>
        </w:rPr>
      </w:pPr>
    </w:p>
    <w:p w:rsidR="001F36F6" w:rsidRDefault="009C271A" w:rsidP="001F36F6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1119"/>
        </w:tabs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“And if it seem evil</w:t>
      </w:r>
      <w:r w:rsidR="001F36F6">
        <w:rPr>
          <w:rFonts w:ascii="Book Antiqua" w:hAnsi="Book Antiqua"/>
          <w:sz w:val="28"/>
          <w:szCs w:val="28"/>
        </w:rPr>
        <w:t xml:space="preserve"> unto you to serve the Lord, </w:t>
      </w:r>
      <w:r w:rsidR="001F36F6" w:rsidRPr="001F36F6">
        <w:rPr>
          <w:rFonts w:ascii="Book Antiqua" w:hAnsi="Book Antiqua"/>
          <w:i/>
          <w:sz w:val="28"/>
          <w:szCs w:val="28"/>
          <w:u w:val="single"/>
        </w:rPr>
        <w:t>choose you this day</w:t>
      </w:r>
      <w:r w:rsidR="001F36F6" w:rsidRPr="001F36F6">
        <w:rPr>
          <w:rFonts w:ascii="Book Antiqua" w:hAnsi="Book Antiqua"/>
          <w:sz w:val="28"/>
          <w:szCs w:val="28"/>
          <w:u w:val="single"/>
        </w:rPr>
        <w:t xml:space="preserve"> </w:t>
      </w:r>
      <w:r w:rsidR="001F36F6" w:rsidRPr="001F36F6">
        <w:rPr>
          <w:rFonts w:ascii="Book Antiqua" w:hAnsi="Book Antiqua"/>
          <w:i/>
          <w:sz w:val="28"/>
          <w:szCs w:val="28"/>
          <w:u w:val="single"/>
        </w:rPr>
        <w:t>whom you will serve</w:t>
      </w:r>
      <w:r w:rsidR="001F36F6">
        <w:rPr>
          <w:rFonts w:ascii="Book Antiqua" w:hAnsi="Book Antiqua"/>
          <w:sz w:val="28"/>
          <w:szCs w:val="28"/>
        </w:rPr>
        <w:t>, whether the gods which your fathers served which were on the other side of the flood, or the gods of the Amorites in whose land ye dwell; but as for me and my house we will serve the Lord. “</w:t>
      </w:r>
    </w:p>
    <w:p w:rsidR="00E847CA" w:rsidRDefault="001F36F6" w:rsidP="001F36F6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1119"/>
        </w:tabs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Joshua 24:15 (Emphasis supplied)</w:t>
      </w:r>
    </w:p>
    <w:p w:rsidR="00E847CA" w:rsidRPr="00E847CA" w:rsidRDefault="00E847CA" w:rsidP="00E847CA">
      <w:pPr>
        <w:rPr>
          <w:rFonts w:ascii="Book Antiqua" w:hAnsi="Book Antiqua"/>
          <w:sz w:val="20"/>
          <w:szCs w:val="20"/>
        </w:rPr>
      </w:pPr>
    </w:p>
    <w:p w:rsidR="009C271A" w:rsidRPr="00E847CA" w:rsidRDefault="00E847CA" w:rsidP="00E847CA">
      <w:pPr>
        <w:tabs>
          <w:tab w:val="left" w:pos="1714"/>
        </w:tabs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ab/>
      </w:r>
      <w:r w:rsidRPr="00E847CA">
        <w:rPr>
          <w:rFonts w:ascii="Book Antiqua" w:hAnsi="Book Antiqua"/>
          <w:b/>
          <w:sz w:val="28"/>
          <w:szCs w:val="28"/>
        </w:rPr>
        <w:t>Make a choice!</w:t>
      </w:r>
      <w:r>
        <w:rPr>
          <w:rFonts w:ascii="Book Antiqua" w:hAnsi="Book Antiqua"/>
          <w:b/>
          <w:sz w:val="28"/>
          <w:szCs w:val="28"/>
        </w:rPr>
        <w:t xml:space="preserve">  </w:t>
      </w:r>
      <w:r>
        <w:rPr>
          <w:rFonts w:ascii="Book Antiqua" w:hAnsi="Book Antiqua"/>
          <w:b/>
          <w:noProof/>
          <w:sz w:val="28"/>
          <w:szCs w:val="28"/>
        </w:rPr>
        <w:drawing>
          <wp:inline distT="0" distB="0" distL="0" distR="0">
            <wp:extent cx="470264" cy="548640"/>
            <wp:effectExtent l="0" t="0" r="635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ve in Flight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264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C271A" w:rsidRPr="00E847CA" w:rsidSect="00195CE3">
      <w:footerReference w:type="default" r:id="rId8"/>
      <w:pgSz w:w="7920" w:h="12240" w:orient="landscape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ACD" w:rsidRDefault="00441ACD" w:rsidP="008961C3">
      <w:pPr>
        <w:spacing w:after="0" w:line="240" w:lineRule="auto"/>
      </w:pPr>
      <w:r>
        <w:separator/>
      </w:r>
    </w:p>
  </w:endnote>
  <w:endnote w:type="continuationSeparator" w:id="0">
    <w:p w:rsidR="00441ACD" w:rsidRDefault="00441ACD" w:rsidP="00896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32200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36117" w:rsidRDefault="00E3611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47C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36117" w:rsidRDefault="00E361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ACD" w:rsidRDefault="00441ACD" w:rsidP="008961C3">
      <w:pPr>
        <w:spacing w:after="0" w:line="240" w:lineRule="auto"/>
      </w:pPr>
      <w:r>
        <w:separator/>
      </w:r>
    </w:p>
  </w:footnote>
  <w:footnote w:type="continuationSeparator" w:id="0">
    <w:p w:rsidR="00441ACD" w:rsidRDefault="00441ACD" w:rsidP="008961C3">
      <w:pPr>
        <w:spacing w:after="0" w:line="240" w:lineRule="auto"/>
      </w:pPr>
      <w:r>
        <w:continuationSeparator/>
      </w:r>
    </w:p>
  </w:footnote>
  <w:footnote w:id="1">
    <w:p w:rsidR="00905674" w:rsidRDefault="008961C3">
      <w:pPr>
        <w:pStyle w:val="FootnoteText"/>
      </w:pPr>
      <w:r>
        <w:rPr>
          <w:rStyle w:val="FootnoteReference"/>
        </w:rPr>
        <w:footnoteRef/>
      </w:r>
      <w:r>
        <w:t xml:space="preserve"> E. G. White.</w:t>
      </w:r>
      <w:r w:rsidR="00905674">
        <w:t xml:space="preserve"> </w:t>
      </w:r>
      <w:r w:rsidR="00905674" w:rsidRPr="00905674">
        <w:rPr>
          <w:u w:val="single"/>
        </w:rPr>
        <w:t>Lessons from the Time of Elijah</w:t>
      </w:r>
      <w:r w:rsidR="00905674">
        <w:t xml:space="preserve">, </w:t>
      </w:r>
      <w:r>
        <w:t xml:space="preserve"> </w:t>
      </w:r>
      <w:r w:rsidR="00905674">
        <w:t>“</w:t>
      </w:r>
      <w:r w:rsidRPr="00905674">
        <w:t xml:space="preserve">Advent Review &amp; </w:t>
      </w:r>
    </w:p>
    <w:p w:rsidR="00905674" w:rsidRDefault="00905674">
      <w:pPr>
        <w:pStyle w:val="FootnoteText"/>
      </w:pPr>
      <w:r>
        <w:t xml:space="preserve">  </w:t>
      </w:r>
      <w:r w:rsidR="008961C3" w:rsidRPr="00905674">
        <w:t>Sabbath Herald</w:t>
      </w:r>
      <w:r w:rsidR="008961C3">
        <w:t>,</w:t>
      </w:r>
      <w:r>
        <w:t>”</w:t>
      </w:r>
      <w:r w:rsidR="008961C3">
        <w:t xml:space="preserve"> </w:t>
      </w:r>
      <w:r w:rsidR="00B46AE7">
        <w:t>Vol. 68, No. 21, Battle</w:t>
      </w:r>
      <w:r>
        <w:t xml:space="preserve"> </w:t>
      </w:r>
      <w:r w:rsidR="00B46AE7">
        <w:t xml:space="preserve"> Creek, MI, Tuesday, May 26,</w:t>
      </w:r>
      <w:r>
        <w:t xml:space="preserve"> </w:t>
      </w:r>
    </w:p>
    <w:p w:rsidR="008961C3" w:rsidRDefault="00905674">
      <w:pPr>
        <w:pStyle w:val="FootnoteText"/>
      </w:pPr>
      <w:r>
        <w:t xml:space="preserve">  1891</w:t>
      </w:r>
      <w:r w:rsidR="00B46AE7">
        <w:t>, pp. 489, 490.</w:t>
      </w:r>
    </w:p>
  </w:footnote>
  <w:footnote w:id="2">
    <w:p w:rsidR="00B076BB" w:rsidRDefault="00B076BB">
      <w:pPr>
        <w:pStyle w:val="FootnoteText"/>
      </w:pPr>
      <w:r>
        <w:rPr>
          <w:rStyle w:val="FootnoteReference"/>
        </w:rPr>
        <w:footnoteRef/>
      </w:r>
      <w:r>
        <w:t xml:space="preserve"> Ibid. pp. 489, 490.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bookFoldPrinting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CC6"/>
    <w:rsid w:val="000E4F23"/>
    <w:rsid w:val="00134CC6"/>
    <w:rsid w:val="00157BAA"/>
    <w:rsid w:val="00195CE3"/>
    <w:rsid w:val="001F36F6"/>
    <w:rsid w:val="00236E33"/>
    <w:rsid w:val="00283902"/>
    <w:rsid w:val="00292A7A"/>
    <w:rsid w:val="002E3D0D"/>
    <w:rsid w:val="003F1300"/>
    <w:rsid w:val="00441ACD"/>
    <w:rsid w:val="00466547"/>
    <w:rsid w:val="00484728"/>
    <w:rsid w:val="005D122F"/>
    <w:rsid w:val="005D17FC"/>
    <w:rsid w:val="00645196"/>
    <w:rsid w:val="006D2BC4"/>
    <w:rsid w:val="007D6664"/>
    <w:rsid w:val="008961C3"/>
    <w:rsid w:val="00905674"/>
    <w:rsid w:val="009C271A"/>
    <w:rsid w:val="009F51E4"/>
    <w:rsid w:val="00AE160A"/>
    <w:rsid w:val="00AE2790"/>
    <w:rsid w:val="00B076BB"/>
    <w:rsid w:val="00B317BF"/>
    <w:rsid w:val="00B46AE7"/>
    <w:rsid w:val="00BE630B"/>
    <w:rsid w:val="00CD29CB"/>
    <w:rsid w:val="00DF5196"/>
    <w:rsid w:val="00E36117"/>
    <w:rsid w:val="00E646AD"/>
    <w:rsid w:val="00E847CA"/>
    <w:rsid w:val="00F168B0"/>
    <w:rsid w:val="00F840CC"/>
    <w:rsid w:val="00FC6480"/>
    <w:rsid w:val="00FE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0DDCE9-DB8C-4D2D-8E89-85F221818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961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61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61C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361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117"/>
  </w:style>
  <w:style w:type="paragraph" w:styleId="Footer">
    <w:name w:val="footer"/>
    <w:basedOn w:val="Normal"/>
    <w:link w:val="FooterChar"/>
    <w:uiPriority w:val="99"/>
    <w:unhideWhenUsed/>
    <w:rsid w:val="00E361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FBB72-F1C6-4778-BAC3-B14A9EF2A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Ewell</dc:creator>
  <cp:keywords/>
  <dc:description/>
  <cp:lastModifiedBy>Ewell</cp:lastModifiedBy>
  <cp:revision>18</cp:revision>
  <dcterms:created xsi:type="dcterms:W3CDTF">2019-12-06T21:08:00Z</dcterms:created>
  <dcterms:modified xsi:type="dcterms:W3CDTF">2019-12-07T23:16:00Z</dcterms:modified>
</cp:coreProperties>
</file>