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196" w:rsidRDefault="00D97953" w:rsidP="00D97953">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sz w:val="48"/>
          <w:szCs w:val="48"/>
        </w:rPr>
      </w:pPr>
      <w:r>
        <w:rPr>
          <w:rFonts w:ascii="French Script MT" w:hAnsi="French Script MT"/>
          <w:b/>
          <w:sz w:val="48"/>
          <w:szCs w:val="48"/>
        </w:rPr>
        <w:t>These Perilous Times</w:t>
      </w:r>
    </w:p>
    <w:p w:rsidR="00D97953" w:rsidRPr="00D97953" w:rsidRDefault="00D97953" w:rsidP="00D97953">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sz w:val="48"/>
          <w:szCs w:val="48"/>
        </w:rPr>
      </w:pPr>
      <w:r>
        <w:rPr>
          <w:rFonts w:ascii="French Script MT" w:hAnsi="French Script MT"/>
          <w:b/>
          <w:sz w:val="48"/>
          <w:szCs w:val="48"/>
        </w:rPr>
        <w:t>Vol. 11, No. 21 Nov. 7, 2019</w:t>
      </w:r>
    </w:p>
    <w:p w:rsidR="00D97953" w:rsidRPr="00D97953" w:rsidRDefault="00D97953">
      <w:pPr>
        <w:spacing w:after="0"/>
        <w:jc w:val="center"/>
        <w:rPr>
          <w:rFonts w:ascii="Book Antiqua" w:hAnsi="Book Antiqua"/>
          <w:b/>
          <w:sz w:val="20"/>
          <w:szCs w:val="20"/>
        </w:rPr>
      </w:pPr>
    </w:p>
    <w:p w:rsidR="00D97953" w:rsidRDefault="00D97953">
      <w:pPr>
        <w:spacing w:after="0"/>
        <w:jc w:val="center"/>
        <w:rPr>
          <w:rFonts w:ascii="Book Antiqua" w:hAnsi="Book Antiqua"/>
          <w:b/>
          <w:sz w:val="28"/>
          <w:szCs w:val="28"/>
        </w:rPr>
      </w:pPr>
      <w:r>
        <w:rPr>
          <w:rFonts w:ascii="Book Antiqua" w:hAnsi="Book Antiqua"/>
          <w:b/>
          <w:sz w:val="28"/>
          <w:szCs w:val="28"/>
        </w:rPr>
        <w:t xml:space="preserve">“Calling all </w:t>
      </w:r>
      <w:r w:rsidR="00BC162C" w:rsidRPr="00BC162C">
        <w:rPr>
          <w:rFonts w:ascii="Book Antiqua" w:hAnsi="Book Antiqua"/>
          <w:b/>
          <w:sz w:val="28"/>
          <w:szCs w:val="28"/>
        </w:rPr>
        <w:t>Preachers</w:t>
      </w:r>
      <w:r>
        <w:rPr>
          <w:rFonts w:ascii="Book Antiqua" w:hAnsi="Book Antiqua"/>
          <w:b/>
          <w:sz w:val="28"/>
          <w:szCs w:val="28"/>
        </w:rPr>
        <w:t>”</w:t>
      </w:r>
    </w:p>
    <w:p w:rsidR="00D97953" w:rsidRPr="00D97953" w:rsidRDefault="00D97953">
      <w:pPr>
        <w:spacing w:after="0"/>
        <w:jc w:val="center"/>
        <w:rPr>
          <w:rFonts w:ascii="Book Antiqua" w:hAnsi="Book Antiqua"/>
          <w:b/>
          <w:sz w:val="20"/>
          <w:szCs w:val="20"/>
        </w:rPr>
      </w:pPr>
    </w:p>
    <w:p w:rsidR="00D97953" w:rsidRDefault="00D97953" w:rsidP="00D97953">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w:t>
      </w:r>
      <w:r w:rsidR="00BF7A31">
        <w:rPr>
          <w:rFonts w:ascii="Book Antiqua" w:hAnsi="Book Antiqua"/>
          <w:sz w:val="28"/>
          <w:szCs w:val="28"/>
        </w:rPr>
        <w:t>And this gospel</w:t>
      </w:r>
      <w:r>
        <w:rPr>
          <w:rFonts w:ascii="Book Antiqua" w:hAnsi="Book Antiqua"/>
          <w:sz w:val="28"/>
          <w:szCs w:val="28"/>
        </w:rPr>
        <w:t xml:space="preserve"> of the kingdom </w:t>
      </w:r>
      <w:r w:rsidRPr="00BF7A31">
        <w:rPr>
          <w:rFonts w:ascii="Book Antiqua" w:hAnsi="Book Antiqua"/>
          <w:i/>
          <w:sz w:val="28"/>
          <w:szCs w:val="28"/>
        </w:rPr>
        <w:t>shall be preached</w:t>
      </w:r>
      <w:r>
        <w:rPr>
          <w:rFonts w:ascii="Book Antiqua" w:hAnsi="Book Antiqua"/>
          <w:sz w:val="28"/>
          <w:szCs w:val="28"/>
        </w:rPr>
        <w:t xml:space="preserve"> in all the world for a witness unto all nations; and then shall the end come.”</w:t>
      </w:r>
    </w:p>
    <w:p w:rsidR="00BF7A31" w:rsidRDefault="00D97953" w:rsidP="00D97953">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Matthew 24:14 KJV</w:t>
      </w:r>
      <w:r w:rsidR="00B60C60">
        <w:rPr>
          <w:rFonts w:ascii="Book Antiqua" w:hAnsi="Book Antiqua"/>
          <w:sz w:val="28"/>
          <w:szCs w:val="28"/>
        </w:rPr>
        <w:t xml:space="preserve"> (Italics supplied)</w:t>
      </w:r>
    </w:p>
    <w:p w:rsidR="00BF7A31" w:rsidRDefault="00BF7A31" w:rsidP="00E31040">
      <w:pPr>
        <w:spacing w:after="0"/>
        <w:rPr>
          <w:rFonts w:ascii="Book Antiqua" w:hAnsi="Book Antiqua"/>
          <w:sz w:val="20"/>
          <w:szCs w:val="20"/>
        </w:rPr>
      </w:pPr>
    </w:p>
    <w:p w:rsidR="007D4D65" w:rsidRDefault="00E31040" w:rsidP="00D7289F">
      <w:pPr>
        <w:spacing w:after="0"/>
        <w:jc w:val="both"/>
        <w:rPr>
          <w:rFonts w:ascii="Book Antiqua" w:hAnsi="Book Antiqua"/>
          <w:sz w:val="28"/>
          <w:szCs w:val="28"/>
        </w:rPr>
      </w:pPr>
      <w:r>
        <w:rPr>
          <w:rFonts w:ascii="Book Antiqua" w:hAnsi="Book Antiqua"/>
          <w:sz w:val="28"/>
          <w:szCs w:val="28"/>
        </w:rPr>
        <w:t xml:space="preserve">    This prophetic text </w:t>
      </w:r>
      <w:r w:rsidR="0003643F">
        <w:rPr>
          <w:rFonts w:ascii="Book Antiqua" w:hAnsi="Book Antiqua"/>
          <w:sz w:val="28"/>
          <w:szCs w:val="28"/>
        </w:rPr>
        <w:t>couldn’t be any clearer</w:t>
      </w:r>
      <w:r>
        <w:rPr>
          <w:rFonts w:ascii="Book Antiqua" w:hAnsi="Book Antiqua"/>
          <w:sz w:val="28"/>
          <w:szCs w:val="28"/>
        </w:rPr>
        <w:t xml:space="preserve"> concerning the</w:t>
      </w:r>
      <w:r w:rsidR="0003643F">
        <w:rPr>
          <w:rFonts w:ascii="Book Antiqua" w:hAnsi="Book Antiqua"/>
          <w:sz w:val="28"/>
          <w:szCs w:val="28"/>
        </w:rPr>
        <w:t xml:space="preserve"> </w:t>
      </w:r>
      <w:r w:rsidR="0003643F" w:rsidRPr="0003643F">
        <w:rPr>
          <w:rFonts w:ascii="Book Antiqua" w:hAnsi="Book Antiqua"/>
          <w:i/>
          <w:sz w:val="28"/>
          <w:szCs w:val="28"/>
        </w:rPr>
        <w:t>preaching</w:t>
      </w:r>
      <w:r w:rsidR="0003643F">
        <w:rPr>
          <w:rFonts w:ascii="Book Antiqua" w:hAnsi="Book Antiqua"/>
          <w:sz w:val="28"/>
          <w:szCs w:val="28"/>
        </w:rPr>
        <w:t xml:space="preserve"> of the </w:t>
      </w:r>
      <w:r w:rsidR="0003643F" w:rsidRPr="0003643F">
        <w:rPr>
          <w:rFonts w:ascii="Book Antiqua" w:hAnsi="Book Antiqua"/>
          <w:i/>
          <w:sz w:val="28"/>
          <w:szCs w:val="28"/>
        </w:rPr>
        <w:t>gospel</w:t>
      </w:r>
      <w:r w:rsidR="0003643F">
        <w:rPr>
          <w:rFonts w:ascii="Book Antiqua" w:hAnsi="Book Antiqua"/>
          <w:sz w:val="28"/>
          <w:szCs w:val="28"/>
        </w:rPr>
        <w:t xml:space="preserve"> to the entire world, and its collaborative connection to the end</w:t>
      </w:r>
      <w:r>
        <w:rPr>
          <w:rFonts w:ascii="Book Antiqua" w:hAnsi="Book Antiqua"/>
          <w:sz w:val="28"/>
          <w:szCs w:val="28"/>
        </w:rPr>
        <w:t xml:space="preserve"> </w:t>
      </w:r>
      <w:r w:rsidR="0003643F">
        <w:rPr>
          <w:rFonts w:ascii="Book Antiqua" w:hAnsi="Book Antiqua"/>
          <w:sz w:val="28"/>
          <w:szCs w:val="28"/>
        </w:rPr>
        <w:t xml:space="preserve">of </w:t>
      </w:r>
      <w:r>
        <w:rPr>
          <w:rFonts w:ascii="Book Antiqua" w:hAnsi="Book Antiqua"/>
          <w:sz w:val="28"/>
          <w:szCs w:val="28"/>
        </w:rPr>
        <w:t>time</w:t>
      </w:r>
      <w:r w:rsidR="00B60C60">
        <w:rPr>
          <w:rFonts w:ascii="Book Antiqua" w:hAnsi="Book Antiqua"/>
          <w:sz w:val="28"/>
          <w:szCs w:val="28"/>
        </w:rPr>
        <w:t xml:space="preserve"> for planet earth.</w:t>
      </w:r>
      <w:r>
        <w:rPr>
          <w:rFonts w:ascii="Book Antiqua" w:hAnsi="Book Antiqua"/>
          <w:sz w:val="28"/>
          <w:szCs w:val="28"/>
        </w:rPr>
        <w:t xml:space="preserve"> The words of Jesus, Written in red states: “...this gospel of the kingdom </w:t>
      </w:r>
      <w:r w:rsidRPr="00A15C2D">
        <w:rPr>
          <w:rFonts w:ascii="Book Antiqua" w:hAnsi="Book Antiqua"/>
          <w:i/>
          <w:sz w:val="28"/>
          <w:szCs w:val="28"/>
        </w:rPr>
        <w:t>shall</w:t>
      </w:r>
      <w:r w:rsidR="00A067EE">
        <w:rPr>
          <w:rFonts w:ascii="Book Antiqua" w:hAnsi="Book Antiqua"/>
          <w:i/>
          <w:sz w:val="28"/>
          <w:szCs w:val="28"/>
        </w:rPr>
        <w:t xml:space="preserve"> </w:t>
      </w:r>
      <w:r w:rsidR="00A067EE" w:rsidRPr="00A067EE">
        <w:rPr>
          <w:rFonts w:ascii="Book Antiqua" w:hAnsi="Book Antiqua"/>
          <w:sz w:val="28"/>
          <w:szCs w:val="28"/>
        </w:rPr>
        <w:t>(will)</w:t>
      </w:r>
      <w:r w:rsidRPr="00A15C2D">
        <w:rPr>
          <w:rFonts w:ascii="Book Antiqua" w:hAnsi="Book Antiqua"/>
          <w:i/>
          <w:sz w:val="28"/>
          <w:szCs w:val="28"/>
        </w:rPr>
        <w:t xml:space="preserve"> be preached</w:t>
      </w:r>
      <w:r>
        <w:rPr>
          <w:rFonts w:ascii="Book Antiqua" w:hAnsi="Book Antiqua"/>
          <w:i/>
          <w:sz w:val="28"/>
          <w:szCs w:val="28"/>
        </w:rPr>
        <w:t>...”</w:t>
      </w:r>
      <w:r w:rsidR="00630C72">
        <w:rPr>
          <w:rFonts w:ascii="Book Antiqua" w:hAnsi="Book Antiqua"/>
          <w:sz w:val="20"/>
          <w:szCs w:val="20"/>
        </w:rPr>
        <w:t xml:space="preserve"> </w:t>
      </w:r>
      <w:r w:rsidR="0084236D" w:rsidRPr="0084236D">
        <w:rPr>
          <w:rFonts w:ascii="Book Antiqua" w:hAnsi="Book Antiqua"/>
          <w:sz w:val="28"/>
          <w:szCs w:val="28"/>
        </w:rPr>
        <w:t>Th</w:t>
      </w:r>
      <w:r w:rsidR="0084236D">
        <w:rPr>
          <w:rFonts w:ascii="Book Antiqua" w:hAnsi="Book Antiqua"/>
          <w:sz w:val="28"/>
          <w:szCs w:val="28"/>
        </w:rPr>
        <w:t xml:space="preserve">e word </w:t>
      </w:r>
      <w:r w:rsidR="0084236D" w:rsidRPr="0084236D">
        <w:rPr>
          <w:rFonts w:ascii="Book Antiqua" w:hAnsi="Book Antiqua"/>
          <w:i/>
          <w:sz w:val="28"/>
          <w:szCs w:val="28"/>
        </w:rPr>
        <w:t>shall</w:t>
      </w:r>
      <w:r w:rsidR="0084236D">
        <w:rPr>
          <w:rFonts w:ascii="Book Antiqua" w:hAnsi="Book Antiqua"/>
          <w:sz w:val="28"/>
          <w:szCs w:val="28"/>
        </w:rPr>
        <w:t xml:space="preserve"> is synonymous</w:t>
      </w:r>
      <w:r w:rsidR="0084236D" w:rsidRPr="0084236D">
        <w:rPr>
          <w:rFonts w:ascii="Book Antiqua" w:hAnsi="Book Antiqua"/>
          <w:sz w:val="28"/>
          <w:szCs w:val="28"/>
        </w:rPr>
        <w:t xml:space="preserve"> with the word </w:t>
      </w:r>
      <w:r w:rsidR="0084236D" w:rsidRPr="0084236D">
        <w:rPr>
          <w:rFonts w:ascii="Book Antiqua" w:hAnsi="Book Antiqua"/>
          <w:i/>
          <w:sz w:val="28"/>
          <w:szCs w:val="28"/>
        </w:rPr>
        <w:t>will</w:t>
      </w:r>
      <w:r w:rsidR="0084236D">
        <w:rPr>
          <w:rFonts w:ascii="Book Antiqua" w:hAnsi="Book Antiqua"/>
          <w:i/>
          <w:sz w:val="28"/>
          <w:szCs w:val="28"/>
        </w:rPr>
        <w:t xml:space="preserve">. </w:t>
      </w:r>
      <w:r w:rsidR="0084236D">
        <w:rPr>
          <w:rFonts w:ascii="Book Antiqua" w:hAnsi="Book Antiqua"/>
          <w:sz w:val="28"/>
          <w:szCs w:val="28"/>
        </w:rPr>
        <w:t>According to Webster’</w:t>
      </w:r>
      <w:r w:rsidR="00D06C54">
        <w:rPr>
          <w:rFonts w:ascii="Book Antiqua" w:hAnsi="Book Antiqua"/>
          <w:sz w:val="28"/>
          <w:szCs w:val="28"/>
        </w:rPr>
        <w:t xml:space="preserve">s Dictionary, </w:t>
      </w:r>
      <w:r w:rsidR="00D06C54" w:rsidRPr="00D06C54">
        <w:rPr>
          <w:rFonts w:ascii="Book Antiqua" w:hAnsi="Book Antiqua"/>
          <w:i/>
          <w:sz w:val="28"/>
          <w:szCs w:val="28"/>
        </w:rPr>
        <w:t>shall</w:t>
      </w:r>
      <w:r w:rsidR="00D06C54">
        <w:rPr>
          <w:rFonts w:ascii="Book Antiqua" w:hAnsi="Book Antiqua"/>
          <w:sz w:val="28"/>
          <w:szCs w:val="28"/>
        </w:rPr>
        <w:t xml:space="preserve"> is an auxiliary verb</w:t>
      </w:r>
      <w:r w:rsidR="00BC162C">
        <w:rPr>
          <w:rFonts w:ascii="Book Antiqua" w:hAnsi="Book Antiqua"/>
          <w:sz w:val="28"/>
          <w:szCs w:val="28"/>
        </w:rPr>
        <w:t>,</w:t>
      </w:r>
      <w:r w:rsidR="00155C3E">
        <w:rPr>
          <w:rFonts w:ascii="Book Antiqua" w:hAnsi="Book Antiqua"/>
          <w:sz w:val="28"/>
          <w:szCs w:val="28"/>
        </w:rPr>
        <w:t xml:space="preserve"> (</w:t>
      </w:r>
      <w:r w:rsidR="00D06C54">
        <w:rPr>
          <w:rFonts w:ascii="Book Antiqua" w:hAnsi="Book Antiqua"/>
          <w:sz w:val="28"/>
          <w:szCs w:val="28"/>
        </w:rPr>
        <w:t>old English word</w:t>
      </w:r>
      <w:r w:rsidR="00155C3E">
        <w:rPr>
          <w:rFonts w:ascii="Book Antiqua" w:hAnsi="Book Antiqua"/>
          <w:sz w:val="28"/>
          <w:szCs w:val="28"/>
        </w:rPr>
        <w:t>)</w:t>
      </w:r>
      <w:r w:rsidR="00D06C54">
        <w:rPr>
          <w:rFonts w:ascii="Book Antiqua" w:hAnsi="Book Antiqua"/>
          <w:sz w:val="28"/>
          <w:szCs w:val="28"/>
        </w:rPr>
        <w:t xml:space="preserve"> used to express futurity, promise, </w:t>
      </w:r>
      <w:proofErr w:type="gramStart"/>
      <w:r w:rsidR="00D06C54">
        <w:rPr>
          <w:rFonts w:ascii="Book Antiqua" w:hAnsi="Book Antiqua"/>
          <w:sz w:val="28"/>
          <w:szCs w:val="28"/>
        </w:rPr>
        <w:t>intention</w:t>
      </w:r>
      <w:proofErr w:type="gramEnd"/>
      <w:r w:rsidR="00D06C54">
        <w:rPr>
          <w:rFonts w:ascii="Book Antiqua" w:hAnsi="Book Antiqua"/>
          <w:sz w:val="28"/>
          <w:szCs w:val="28"/>
        </w:rPr>
        <w:t xml:space="preserve"> or command... </w:t>
      </w:r>
      <w:r w:rsidR="00D06C54">
        <w:rPr>
          <w:rStyle w:val="FootnoteReference"/>
          <w:rFonts w:ascii="Book Antiqua" w:hAnsi="Book Antiqua"/>
          <w:sz w:val="28"/>
          <w:szCs w:val="28"/>
        </w:rPr>
        <w:footnoteReference w:id="1"/>
      </w:r>
      <w:r w:rsidR="00A067EE">
        <w:rPr>
          <w:rFonts w:ascii="Book Antiqua" w:hAnsi="Book Antiqua"/>
          <w:sz w:val="28"/>
          <w:szCs w:val="28"/>
        </w:rPr>
        <w:t xml:space="preserve"> Let’s allude to</w:t>
      </w:r>
      <w:r w:rsidR="003562A3">
        <w:rPr>
          <w:rFonts w:ascii="Book Antiqua" w:hAnsi="Book Antiqua"/>
          <w:sz w:val="28"/>
          <w:szCs w:val="28"/>
        </w:rPr>
        <w:t xml:space="preserve"> </w:t>
      </w:r>
      <w:r w:rsidR="00BC162C">
        <w:rPr>
          <w:rFonts w:ascii="Book Antiqua" w:hAnsi="Book Antiqua"/>
          <w:sz w:val="28"/>
          <w:szCs w:val="28"/>
        </w:rPr>
        <w:t>our test</w:t>
      </w:r>
      <w:r w:rsidR="00A067EE">
        <w:rPr>
          <w:rFonts w:ascii="Book Antiqua" w:hAnsi="Book Antiqua"/>
          <w:sz w:val="28"/>
          <w:szCs w:val="28"/>
        </w:rPr>
        <w:t xml:space="preserve"> for just a moment and focus </w:t>
      </w:r>
      <w:r w:rsidR="00BC162C">
        <w:rPr>
          <w:rFonts w:ascii="Book Antiqua" w:hAnsi="Book Antiqua"/>
          <w:sz w:val="28"/>
          <w:szCs w:val="28"/>
        </w:rPr>
        <w:t>on the</w:t>
      </w:r>
      <w:r w:rsidR="00A067EE">
        <w:rPr>
          <w:rFonts w:ascii="Book Antiqua" w:hAnsi="Book Antiqua"/>
          <w:sz w:val="28"/>
          <w:szCs w:val="28"/>
        </w:rPr>
        <w:t xml:space="preserve"> context. “The </w:t>
      </w:r>
      <w:r w:rsidR="003562A3">
        <w:rPr>
          <w:rFonts w:ascii="Book Antiqua" w:hAnsi="Book Antiqua"/>
          <w:sz w:val="28"/>
          <w:szCs w:val="28"/>
        </w:rPr>
        <w:t xml:space="preserve">gospel </w:t>
      </w:r>
    </w:p>
    <w:p w:rsidR="007E4576" w:rsidRPr="00F77F71" w:rsidRDefault="003562A3" w:rsidP="00D7289F">
      <w:pPr>
        <w:spacing w:after="0"/>
        <w:jc w:val="both"/>
        <w:rPr>
          <w:rFonts w:ascii="Book Antiqua" w:hAnsi="Book Antiqua"/>
          <w:sz w:val="20"/>
          <w:szCs w:val="20"/>
        </w:rPr>
      </w:pPr>
      <w:r>
        <w:rPr>
          <w:rFonts w:ascii="Book Antiqua" w:hAnsi="Book Antiqua"/>
          <w:sz w:val="28"/>
          <w:szCs w:val="28"/>
        </w:rPr>
        <w:lastRenderedPageBreak/>
        <w:t>(</w:t>
      </w:r>
      <w:r w:rsidR="007D4D65">
        <w:rPr>
          <w:rFonts w:ascii="Book Antiqua" w:hAnsi="Book Antiqua"/>
          <w:sz w:val="28"/>
          <w:szCs w:val="28"/>
        </w:rPr>
        <w:t xml:space="preserve">Gr. </w:t>
      </w:r>
      <w:r>
        <w:rPr>
          <w:rFonts w:ascii="Book Antiqua" w:hAnsi="Book Antiqua"/>
          <w:sz w:val="28"/>
          <w:szCs w:val="28"/>
        </w:rPr>
        <w:t xml:space="preserve">euaggelion) to all the (known) world (see Luke 2:1), </w:t>
      </w:r>
      <w:r w:rsidR="00155C3E">
        <w:rPr>
          <w:rFonts w:ascii="Book Antiqua" w:hAnsi="Book Antiqua"/>
          <w:sz w:val="28"/>
          <w:szCs w:val="28"/>
        </w:rPr>
        <w:t xml:space="preserve">is to be </w:t>
      </w:r>
      <w:r>
        <w:rPr>
          <w:rFonts w:ascii="Book Antiqua" w:hAnsi="Book Antiqua"/>
          <w:sz w:val="28"/>
          <w:szCs w:val="28"/>
        </w:rPr>
        <w:t>considered from the viewpoint of time (see Matt 24:3). Thirty ye</w:t>
      </w:r>
      <w:r w:rsidR="007D4D65">
        <w:rPr>
          <w:rFonts w:ascii="Book Antiqua" w:hAnsi="Book Antiqua"/>
          <w:sz w:val="28"/>
          <w:szCs w:val="28"/>
        </w:rPr>
        <w:t>ars after Jesus spoke these word</w:t>
      </w:r>
      <w:r>
        <w:rPr>
          <w:rFonts w:ascii="Book Antiqua" w:hAnsi="Book Antiqua"/>
          <w:sz w:val="28"/>
          <w:szCs w:val="28"/>
        </w:rPr>
        <w:t xml:space="preserve">s Paul affirmed that the gospel had been preached to all </w:t>
      </w:r>
      <w:r w:rsidRPr="00492F1C">
        <w:rPr>
          <w:rFonts w:ascii="Book Antiqua" w:hAnsi="Book Antiqua"/>
          <w:i/>
          <w:sz w:val="28"/>
          <w:szCs w:val="28"/>
        </w:rPr>
        <w:t>the world</w:t>
      </w:r>
      <w:r>
        <w:rPr>
          <w:rFonts w:ascii="Book Antiqua" w:hAnsi="Book Antiqua"/>
          <w:sz w:val="28"/>
          <w:szCs w:val="28"/>
        </w:rPr>
        <w:t xml:space="preserve"> (Col. 1:23; Rom. 1:8; 10:18; Col. 1:5, 6, T</w:t>
      </w:r>
      <w:r w:rsidR="00D7289F">
        <w:rPr>
          <w:rFonts w:ascii="Book Antiqua" w:hAnsi="Book Antiqua"/>
          <w:sz w:val="28"/>
          <w:szCs w:val="28"/>
        </w:rPr>
        <w:t>estimonies Vol. 8, p. 26</w:t>
      </w:r>
      <w:r w:rsidR="0003643F">
        <w:rPr>
          <w:rFonts w:ascii="Book Antiqua" w:hAnsi="Book Antiqua"/>
          <w:sz w:val="28"/>
          <w:szCs w:val="28"/>
        </w:rPr>
        <w:t>, 27</w:t>
      </w:r>
      <w:r w:rsidR="00D7289F">
        <w:rPr>
          <w:rFonts w:ascii="Book Antiqua" w:hAnsi="Book Antiqua"/>
          <w:sz w:val="28"/>
          <w:szCs w:val="28"/>
        </w:rPr>
        <w:t xml:space="preserve">.) confirming the literal fulfillment of this prophecy </w:t>
      </w:r>
      <w:r w:rsidR="00D7289F" w:rsidRPr="005955F3">
        <w:rPr>
          <w:rFonts w:ascii="Book Antiqua" w:hAnsi="Book Antiqua"/>
          <w:i/>
          <w:sz w:val="28"/>
          <w:szCs w:val="28"/>
        </w:rPr>
        <w:t>in his day</w:t>
      </w:r>
      <w:r w:rsidR="00D7289F">
        <w:rPr>
          <w:rFonts w:ascii="Book Antiqua" w:hAnsi="Book Antiqua"/>
          <w:sz w:val="28"/>
          <w:szCs w:val="28"/>
        </w:rPr>
        <w:t>, (see DA p. 633).  Does this mean t</w:t>
      </w:r>
      <w:r w:rsidR="007E4576">
        <w:rPr>
          <w:rFonts w:ascii="Book Antiqua" w:hAnsi="Book Antiqua"/>
          <w:sz w:val="28"/>
          <w:szCs w:val="28"/>
        </w:rPr>
        <w:t>hat Paul’s evangelistic journeys were the complete fulfillment of Jesus’ prophecy</w:t>
      </w:r>
      <w:r w:rsidR="00D7289F">
        <w:rPr>
          <w:rFonts w:ascii="Book Antiqua" w:hAnsi="Book Antiqua"/>
          <w:sz w:val="28"/>
          <w:szCs w:val="28"/>
        </w:rPr>
        <w:t xml:space="preserve">? </w:t>
      </w:r>
      <w:r w:rsidR="005955F3">
        <w:rPr>
          <w:rFonts w:ascii="Book Antiqua" w:hAnsi="Book Antiqua"/>
          <w:sz w:val="28"/>
          <w:szCs w:val="28"/>
        </w:rPr>
        <w:t>Not really</w:t>
      </w:r>
      <w:r w:rsidR="00492F1C">
        <w:rPr>
          <w:rFonts w:ascii="Book Antiqua" w:hAnsi="Book Antiqua"/>
          <w:sz w:val="28"/>
          <w:szCs w:val="28"/>
        </w:rPr>
        <w:t xml:space="preserve"> (remember Jesus also spoke of His second coming in Matt. 24, making this text a </w:t>
      </w:r>
      <w:r w:rsidR="00492F1C" w:rsidRPr="00872703">
        <w:rPr>
          <w:rFonts w:ascii="Book Antiqua" w:hAnsi="Book Antiqua"/>
          <w:i/>
          <w:sz w:val="28"/>
          <w:szCs w:val="28"/>
        </w:rPr>
        <w:t xml:space="preserve">dual </w:t>
      </w:r>
      <w:r w:rsidR="00492F1C">
        <w:rPr>
          <w:rFonts w:ascii="Book Antiqua" w:hAnsi="Book Antiqua"/>
          <w:sz w:val="28"/>
          <w:szCs w:val="28"/>
        </w:rPr>
        <w:t>prophecy)</w:t>
      </w:r>
      <w:r w:rsidR="005955F3">
        <w:rPr>
          <w:rFonts w:ascii="Book Antiqua" w:hAnsi="Book Antiqua"/>
          <w:sz w:val="28"/>
          <w:szCs w:val="28"/>
        </w:rPr>
        <w:t xml:space="preserve">. </w:t>
      </w:r>
      <w:r w:rsidR="00D7289F">
        <w:rPr>
          <w:rFonts w:ascii="Book Antiqua" w:hAnsi="Book Antiqua"/>
          <w:sz w:val="28"/>
          <w:szCs w:val="28"/>
        </w:rPr>
        <w:t xml:space="preserve">Paul’s declaration was true in a </w:t>
      </w:r>
      <w:r w:rsidR="00D7289F" w:rsidRPr="00630C72">
        <w:rPr>
          <w:rFonts w:ascii="Book Antiqua" w:hAnsi="Book Antiqua"/>
          <w:i/>
          <w:sz w:val="28"/>
          <w:szCs w:val="28"/>
        </w:rPr>
        <w:t>limited</w:t>
      </w:r>
      <w:r w:rsidR="00D7289F">
        <w:rPr>
          <w:rFonts w:ascii="Book Antiqua" w:hAnsi="Book Antiqua"/>
          <w:sz w:val="28"/>
          <w:szCs w:val="28"/>
        </w:rPr>
        <w:t xml:space="preserve"> </w:t>
      </w:r>
      <w:r w:rsidR="007E4576">
        <w:rPr>
          <w:rFonts w:ascii="Book Antiqua" w:hAnsi="Book Antiqua"/>
          <w:sz w:val="28"/>
          <w:szCs w:val="28"/>
        </w:rPr>
        <w:t>sense</w:t>
      </w:r>
      <w:r w:rsidR="00D7289F">
        <w:rPr>
          <w:rFonts w:ascii="Book Antiqua" w:hAnsi="Book Antiqua"/>
          <w:sz w:val="28"/>
          <w:szCs w:val="28"/>
        </w:rPr>
        <w:t xml:space="preserve"> only.</w:t>
      </w:r>
      <w:r w:rsidR="00F77F71">
        <w:rPr>
          <w:rFonts w:ascii="Book Antiqua" w:hAnsi="Book Antiqua"/>
          <w:sz w:val="20"/>
          <w:szCs w:val="20"/>
        </w:rPr>
        <w:t xml:space="preserve"> </w:t>
      </w:r>
      <w:r w:rsidR="007E4576">
        <w:rPr>
          <w:rFonts w:ascii="Book Antiqua" w:hAnsi="Book Antiqua"/>
          <w:sz w:val="28"/>
          <w:szCs w:val="28"/>
        </w:rPr>
        <w:t>The complete fulfilment of Jesus’ prophetic words</w:t>
      </w:r>
      <w:r w:rsidR="004D1F1C">
        <w:rPr>
          <w:rFonts w:ascii="Book Antiqua" w:hAnsi="Book Antiqua"/>
          <w:sz w:val="28"/>
          <w:szCs w:val="28"/>
        </w:rPr>
        <w:t xml:space="preserve"> </w:t>
      </w:r>
      <w:r w:rsidR="007E4576">
        <w:rPr>
          <w:rFonts w:ascii="Book Antiqua" w:hAnsi="Book Antiqua"/>
          <w:sz w:val="28"/>
          <w:szCs w:val="28"/>
        </w:rPr>
        <w:t xml:space="preserve">(concerning the </w:t>
      </w:r>
      <w:r w:rsidR="004D1F1C">
        <w:rPr>
          <w:rFonts w:ascii="Book Antiqua" w:hAnsi="Book Antiqua"/>
          <w:sz w:val="28"/>
          <w:szCs w:val="28"/>
        </w:rPr>
        <w:t xml:space="preserve">propagation of the </w:t>
      </w:r>
      <w:r w:rsidR="007E4576">
        <w:rPr>
          <w:rFonts w:ascii="Book Antiqua" w:hAnsi="Book Antiqua"/>
          <w:sz w:val="28"/>
          <w:szCs w:val="28"/>
        </w:rPr>
        <w:t>gospel)</w:t>
      </w:r>
      <w:r w:rsidR="00A9764D">
        <w:rPr>
          <w:rFonts w:ascii="Book Antiqua" w:hAnsi="Book Antiqua"/>
          <w:sz w:val="28"/>
          <w:szCs w:val="28"/>
        </w:rPr>
        <w:t xml:space="preserve"> is yet to be realized.</w:t>
      </w:r>
      <w:r w:rsidR="004D1F1C">
        <w:rPr>
          <w:rFonts w:ascii="Book Antiqua" w:hAnsi="Book Antiqua"/>
          <w:sz w:val="28"/>
          <w:szCs w:val="28"/>
        </w:rPr>
        <w:t xml:space="preserve"> </w:t>
      </w:r>
      <w:r w:rsidR="00BC162C">
        <w:rPr>
          <w:rStyle w:val="FootnoteReference"/>
          <w:rFonts w:ascii="Book Antiqua" w:hAnsi="Book Antiqua"/>
          <w:sz w:val="28"/>
          <w:szCs w:val="28"/>
        </w:rPr>
        <w:footnoteReference w:id="2"/>
      </w:r>
      <w:r w:rsidR="00A9764D">
        <w:rPr>
          <w:rFonts w:ascii="Book Antiqua" w:hAnsi="Book Antiqua"/>
          <w:sz w:val="28"/>
          <w:szCs w:val="28"/>
        </w:rPr>
        <w:t xml:space="preserve"> </w:t>
      </w:r>
    </w:p>
    <w:p w:rsidR="00630C72" w:rsidRPr="00630C72" w:rsidRDefault="00630C72" w:rsidP="00D7289F">
      <w:pPr>
        <w:spacing w:after="0"/>
        <w:jc w:val="both"/>
        <w:rPr>
          <w:rFonts w:ascii="Book Antiqua" w:hAnsi="Book Antiqua"/>
          <w:sz w:val="20"/>
          <w:szCs w:val="20"/>
        </w:rPr>
      </w:pPr>
    </w:p>
    <w:p w:rsidR="00630C72" w:rsidRDefault="00630C72" w:rsidP="005955F3">
      <w:pPr>
        <w:spacing w:after="0"/>
        <w:jc w:val="center"/>
        <w:rPr>
          <w:rFonts w:ascii="Book Antiqua" w:hAnsi="Book Antiqua"/>
          <w:b/>
          <w:sz w:val="28"/>
          <w:szCs w:val="28"/>
        </w:rPr>
      </w:pPr>
      <w:r w:rsidRPr="00630C72">
        <w:rPr>
          <w:rFonts w:ascii="Book Antiqua" w:hAnsi="Book Antiqua"/>
          <w:b/>
          <w:sz w:val="28"/>
          <w:szCs w:val="28"/>
        </w:rPr>
        <w:t>What does this mean for us?</w:t>
      </w:r>
    </w:p>
    <w:p w:rsidR="005955F3" w:rsidRPr="005955F3" w:rsidRDefault="005955F3" w:rsidP="005955F3">
      <w:pPr>
        <w:spacing w:after="0"/>
        <w:jc w:val="center"/>
        <w:rPr>
          <w:rFonts w:ascii="Book Antiqua" w:hAnsi="Book Antiqua"/>
          <w:b/>
          <w:sz w:val="20"/>
          <w:szCs w:val="20"/>
        </w:rPr>
      </w:pPr>
    </w:p>
    <w:p w:rsidR="00306150" w:rsidRDefault="005955F3" w:rsidP="005955F3">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sz w:val="48"/>
          <w:szCs w:val="48"/>
        </w:rPr>
      </w:pPr>
      <w:r w:rsidRPr="005955F3">
        <w:rPr>
          <w:rFonts w:ascii="French Script MT" w:hAnsi="French Script MT"/>
          <w:b/>
          <w:sz w:val="48"/>
          <w:szCs w:val="48"/>
        </w:rPr>
        <w:t xml:space="preserve">Obvious Signs Do Tell </w:t>
      </w:r>
      <w:proofErr w:type="gramStart"/>
      <w:r w:rsidRPr="005955F3">
        <w:rPr>
          <w:rFonts w:ascii="French Script MT" w:hAnsi="French Script MT"/>
          <w:b/>
          <w:sz w:val="48"/>
          <w:szCs w:val="48"/>
        </w:rPr>
        <w:t>The</w:t>
      </w:r>
      <w:proofErr w:type="gramEnd"/>
      <w:r w:rsidRPr="005955F3">
        <w:rPr>
          <w:rFonts w:ascii="French Script MT" w:hAnsi="French Script MT"/>
          <w:b/>
          <w:sz w:val="48"/>
          <w:szCs w:val="48"/>
        </w:rPr>
        <w:t xml:space="preserve"> Season</w:t>
      </w:r>
    </w:p>
    <w:p w:rsidR="005955F3" w:rsidRDefault="00306150" w:rsidP="00306150">
      <w:pPr>
        <w:tabs>
          <w:tab w:val="left" w:pos="1024"/>
        </w:tabs>
        <w:rPr>
          <w:rFonts w:ascii="French Script MT" w:hAnsi="French Script MT"/>
          <w:sz w:val="20"/>
          <w:szCs w:val="20"/>
        </w:rPr>
      </w:pPr>
      <w:r>
        <w:rPr>
          <w:rFonts w:ascii="French Script MT" w:hAnsi="French Script MT"/>
          <w:sz w:val="48"/>
          <w:szCs w:val="48"/>
        </w:rPr>
        <w:tab/>
      </w:r>
    </w:p>
    <w:p w:rsidR="00A9764D" w:rsidRDefault="00A9764D" w:rsidP="00306150">
      <w:pPr>
        <w:tabs>
          <w:tab w:val="left" w:pos="1024"/>
        </w:tabs>
        <w:rPr>
          <w:rFonts w:ascii="Book Antiqua" w:hAnsi="Book Antiqua"/>
          <w:sz w:val="28"/>
          <w:szCs w:val="28"/>
        </w:rPr>
      </w:pPr>
      <w:r w:rsidRPr="00A9764D">
        <w:rPr>
          <w:rFonts w:ascii="Book Antiqua" w:hAnsi="Book Antiqua"/>
          <w:sz w:val="28"/>
          <w:szCs w:val="28"/>
        </w:rPr>
        <w:t>“Long has God waited for the spirit of service</w:t>
      </w:r>
      <w:r w:rsidR="002F01B0">
        <w:rPr>
          <w:rFonts w:ascii="Book Antiqua" w:hAnsi="Book Antiqua"/>
          <w:sz w:val="28"/>
          <w:szCs w:val="28"/>
        </w:rPr>
        <w:t xml:space="preserve"> to take possession of the whole church so that </w:t>
      </w:r>
      <w:r w:rsidR="002F01B0">
        <w:rPr>
          <w:rFonts w:ascii="Book Antiqua" w:hAnsi="Book Antiqua"/>
          <w:sz w:val="28"/>
          <w:szCs w:val="28"/>
        </w:rPr>
        <w:lastRenderedPageBreak/>
        <w:t xml:space="preserve">everyone </w:t>
      </w:r>
      <w:r w:rsidR="002F01B0" w:rsidRPr="002F01B0">
        <w:rPr>
          <w:rFonts w:ascii="Book Antiqua" w:hAnsi="Book Antiqua"/>
          <w:i/>
          <w:sz w:val="28"/>
          <w:szCs w:val="28"/>
        </w:rPr>
        <w:t>shall</w:t>
      </w:r>
      <w:r w:rsidR="002F01B0">
        <w:rPr>
          <w:rFonts w:ascii="Book Antiqua" w:hAnsi="Book Antiqua"/>
          <w:sz w:val="28"/>
          <w:szCs w:val="28"/>
        </w:rPr>
        <w:t xml:space="preserve"> be working for Him according to his ability. When the m</w:t>
      </w:r>
      <w:r w:rsidR="00F77F71">
        <w:rPr>
          <w:rFonts w:ascii="Book Antiqua" w:hAnsi="Book Antiqua"/>
          <w:sz w:val="28"/>
          <w:szCs w:val="28"/>
        </w:rPr>
        <w:t xml:space="preserve">embers (disciple-makers, preachers, </w:t>
      </w:r>
      <w:r w:rsidR="00470392">
        <w:rPr>
          <w:rFonts w:ascii="Book Antiqua" w:hAnsi="Book Antiqua"/>
          <w:sz w:val="28"/>
          <w:szCs w:val="28"/>
        </w:rPr>
        <w:t>and teachers</w:t>
      </w:r>
      <w:r w:rsidR="002F01B0">
        <w:rPr>
          <w:rFonts w:ascii="Book Antiqua" w:hAnsi="Book Antiqua"/>
          <w:sz w:val="28"/>
          <w:szCs w:val="28"/>
        </w:rPr>
        <w:t xml:space="preserve">) of </w:t>
      </w:r>
      <w:r w:rsidR="00DC3F73">
        <w:rPr>
          <w:rFonts w:ascii="Book Antiqua" w:hAnsi="Book Antiqua"/>
          <w:sz w:val="28"/>
          <w:szCs w:val="28"/>
        </w:rPr>
        <w:t xml:space="preserve">the church </w:t>
      </w:r>
      <w:r w:rsidR="00733BEE">
        <w:rPr>
          <w:rFonts w:ascii="Book Antiqua" w:hAnsi="Book Antiqua"/>
          <w:sz w:val="28"/>
          <w:szCs w:val="28"/>
        </w:rPr>
        <w:t xml:space="preserve">of </w:t>
      </w:r>
      <w:r w:rsidR="002F01B0">
        <w:rPr>
          <w:rFonts w:ascii="Book Antiqua" w:hAnsi="Book Antiqua"/>
          <w:sz w:val="28"/>
          <w:szCs w:val="28"/>
        </w:rPr>
        <w:t xml:space="preserve">God do their appointed work in the needy fields at home and abroad, in the fulfillment of the gospel commission, the whole world will soon be warned and the Lord Jesus will return to this earth with power and great glory.” </w:t>
      </w:r>
      <w:r w:rsidR="002F01B0">
        <w:rPr>
          <w:rStyle w:val="FootnoteReference"/>
          <w:rFonts w:ascii="Book Antiqua" w:hAnsi="Book Antiqua"/>
          <w:sz w:val="28"/>
          <w:szCs w:val="28"/>
        </w:rPr>
        <w:footnoteReference w:id="3"/>
      </w:r>
    </w:p>
    <w:p w:rsidR="00B60C60" w:rsidRPr="00B60C60" w:rsidRDefault="00F77F71" w:rsidP="00FE5844">
      <w:pPr>
        <w:tabs>
          <w:tab w:val="left" w:pos="1024"/>
        </w:tabs>
        <w:jc w:val="center"/>
        <w:rPr>
          <w:rFonts w:ascii="Book Antiqua" w:hAnsi="Book Antiqua"/>
          <w:b/>
          <w:sz w:val="20"/>
          <w:szCs w:val="20"/>
        </w:rPr>
      </w:pPr>
      <w:r w:rsidRPr="00F77F71">
        <w:rPr>
          <w:rFonts w:ascii="Book Antiqua" w:hAnsi="Book Antiqua"/>
          <w:b/>
          <w:sz w:val="28"/>
          <w:szCs w:val="28"/>
        </w:rPr>
        <w:t>Paul’s counsel</w:t>
      </w:r>
    </w:p>
    <w:p w:rsidR="00470392" w:rsidRDefault="00F77F71" w:rsidP="00FE5844">
      <w:pPr>
        <w:pBdr>
          <w:top w:val="triple" w:sz="4" w:space="1" w:color="auto" w:shadow="1"/>
          <w:left w:val="triple" w:sz="4" w:space="4" w:color="auto" w:shadow="1"/>
          <w:bottom w:val="triple" w:sz="4" w:space="1" w:color="auto" w:shadow="1"/>
          <w:right w:val="triple" w:sz="4" w:space="4" w:color="auto" w:shadow="1"/>
        </w:pBdr>
        <w:tabs>
          <w:tab w:val="left" w:pos="1024"/>
        </w:tabs>
        <w:spacing w:after="0"/>
        <w:jc w:val="center"/>
        <w:rPr>
          <w:rFonts w:ascii="Book Antiqua" w:hAnsi="Book Antiqua"/>
          <w:sz w:val="28"/>
          <w:szCs w:val="28"/>
        </w:rPr>
      </w:pPr>
      <w:r w:rsidRPr="00F77F71">
        <w:rPr>
          <w:rFonts w:ascii="Book Antiqua" w:hAnsi="Book Antiqua"/>
          <w:sz w:val="28"/>
          <w:szCs w:val="28"/>
        </w:rPr>
        <w:t>“</w:t>
      </w:r>
      <w:r>
        <w:rPr>
          <w:rFonts w:ascii="Book Antiqua" w:hAnsi="Book Antiqua"/>
          <w:sz w:val="28"/>
          <w:szCs w:val="28"/>
        </w:rPr>
        <w:t xml:space="preserve">I charge thee </w:t>
      </w:r>
      <w:r w:rsidRPr="00C248BB">
        <w:rPr>
          <w:rFonts w:ascii="Book Antiqua" w:hAnsi="Book Antiqua"/>
          <w:i/>
          <w:sz w:val="28"/>
          <w:szCs w:val="28"/>
        </w:rPr>
        <w:t>before God</w:t>
      </w:r>
      <w:r>
        <w:rPr>
          <w:rFonts w:ascii="Book Antiqua" w:hAnsi="Book Antiqua"/>
          <w:sz w:val="28"/>
          <w:szCs w:val="28"/>
        </w:rPr>
        <w:t xml:space="preserve">, and the </w:t>
      </w:r>
      <w:r w:rsidRPr="00C248BB">
        <w:rPr>
          <w:rFonts w:ascii="Book Antiqua" w:hAnsi="Book Antiqua"/>
          <w:i/>
          <w:sz w:val="28"/>
          <w:szCs w:val="28"/>
        </w:rPr>
        <w:t>Lord Jesus Christ</w:t>
      </w:r>
      <w:r>
        <w:rPr>
          <w:rFonts w:ascii="Book Antiqua" w:hAnsi="Book Antiqua"/>
          <w:sz w:val="28"/>
          <w:szCs w:val="28"/>
        </w:rPr>
        <w:t xml:space="preserve">, who shall judge the quick and the dead at His appearing and His kingdom. </w:t>
      </w:r>
      <w:r w:rsidRPr="00B60C60">
        <w:rPr>
          <w:rFonts w:ascii="Book Antiqua" w:hAnsi="Book Antiqua"/>
          <w:b/>
          <w:sz w:val="28"/>
          <w:szCs w:val="28"/>
        </w:rPr>
        <w:t>Preach the word</w:t>
      </w:r>
      <w:r>
        <w:rPr>
          <w:rFonts w:ascii="Book Antiqua" w:hAnsi="Book Antiqua"/>
          <w:sz w:val="28"/>
          <w:szCs w:val="28"/>
        </w:rPr>
        <w:t xml:space="preserve">, be instant </w:t>
      </w:r>
      <w:r w:rsidRPr="00324964">
        <w:rPr>
          <w:rFonts w:ascii="Book Antiqua" w:hAnsi="Book Antiqua"/>
          <w:i/>
          <w:sz w:val="28"/>
          <w:szCs w:val="28"/>
        </w:rPr>
        <w:t>in season</w:t>
      </w:r>
      <w:r>
        <w:rPr>
          <w:rFonts w:ascii="Book Antiqua" w:hAnsi="Book Antiqua"/>
          <w:sz w:val="28"/>
          <w:szCs w:val="28"/>
        </w:rPr>
        <w:t xml:space="preserve">, </w:t>
      </w:r>
      <w:r w:rsidRPr="00324964">
        <w:rPr>
          <w:rFonts w:ascii="Book Antiqua" w:hAnsi="Book Antiqua"/>
          <w:i/>
          <w:sz w:val="28"/>
          <w:szCs w:val="28"/>
        </w:rPr>
        <w:t>out of season</w:t>
      </w:r>
      <w:r>
        <w:rPr>
          <w:rFonts w:ascii="Book Antiqua" w:hAnsi="Book Antiqua"/>
          <w:sz w:val="28"/>
          <w:szCs w:val="28"/>
        </w:rPr>
        <w:t>;</w:t>
      </w:r>
      <w:bookmarkStart w:id="0" w:name="_GoBack"/>
      <w:bookmarkEnd w:id="0"/>
      <w:r>
        <w:rPr>
          <w:rFonts w:ascii="Book Antiqua" w:hAnsi="Book Antiqua"/>
          <w:sz w:val="28"/>
          <w:szCs w:val="28"/>
        </w:rPr>
        <w:t xml:space="preserve"> (</w:t>
      </w:r>
      <w:r w:rsidR="00324964">
        <w:rPr>
          <w:rFonts w:ascii="Book Antiqua" w:hAnsi="Book Antiqua"/>
          <w:sz w:val="28"/>
          <w:szCs w:val="28"/>
        </w:rPr>
        <w:t>even when it</w:t>
      </w:r>
      <w:r>
        <w:rPr>
          <w:rFonts w:ascii="Book Antiqua" w:hAnsi="Book Antiqua"/>
          <w:sz w:val="28"/>
          <w:szCs w:val="28"/>
        </w:rPr>
        <w:t xml:space="preserve"> is not popular</w:t>
      </w:r>
      <w:r w:rsidR="00C248BB">
        <w:rPr>
          <w:rFonts w:ascii="Book Antiqua" w:hAnsi="Book Antiqua"/>
          <w:sz w:val="28"/>
          <w:szCs w:val="28"/>
        </w:rPr>
        <w:t xml:space="preserve"> to preach</w:t>
      </w:r>
      <w:r>
        <w:rPr>
          <w:rFonts w:ascii="Book Antiqua" w:hAnsi="Book Antiqua"/>
          <w:sz w:val="28"/>
          <w:szCs w:val="28"/>
        </w:rPr>
        <w:t>) reprove, rebuke, exhort with all longsuffering (patience) and doctrine (teaching)</w:t>
      </w:r>
      <w:r w:rsidR="00B60C60">
        <w:rPr>
          <w:rFonts w:ascii="Book Antiqua" w:hAnsi="Book Antiqua"/>
          <w:sz w:val="28"/>
          <w:szCs w:val="28"/>
        </w:rPr>
        <w:t>. For the time will come that they will not endure sound doctrine (teachings)...” II Tim 4:1-3 KJV</w:t>
      </w:r>
      <w:r w:rsidR="00470392">
        <w:rPr>
          <w:rFonts w:ascii="Book Antiqua" w:hAnsi="Book Antiqua"/>
          <w:sz w:val="28"/>
          <w:szCs w:val="28"/>
        </w:rPr>
        <w:t xml:space="preserve"> </w:t>
      </w:r>
    </w:p>
    <w:p w:rsidR="00FE5844" w:rsidRDefault="00470392" w:rsidP="00FE5844">
      <w:pPr>
        <w:pBdr>
          <w:top w:val="triple" w:sz="4" w:space="1" w:color="auto" w:shadow="1"/>
          <w:left w:val="triple" w:sz="4" w:space="4" w:color="auto" w:shadow="1"/>
          <w:bottom w:val="triple" w:sz="4" w:space="1" w:color="auto" w:shadow="1"/>
          <w:right w:val="triple" w:sz="4" w:space="4" w:color="auto" w:shadow="1"/>
        </w:pBdr>
        <w:tabs>
          <w:tab w:val="left" w:pos="1024"/>
        </w:tabs>
        <w:spacing w:after="0"/>
        <w:jc w:val="center"/>
        <w:rPr>
          <w:rFonts w:ascii="Book Antiqua" w:hAnsi="Book Antiqua"/>
          <w:sz w:val="28"/>
          <w:szCs w:val="28"/>
        </w:rPr>
      </w:pPr>
      <w:r>
        <w:rPr>
          <w:rFonts w:ascii="Book Antiqua" w:hAnsi="Book Antiqua"/>
          <w:sz w:val="28"/>
          <w:szCs w:val="28"/>
        </w:rPr>
        <w:t>(Emphasis supplied)</w:t>
      </w:r>
    </w:p>
    <w:p w:rsidR="00FE5844" w:rsidRPr="00AE05D9" w:rsidRDefault="00FE5844" w:rsidP="00FE5844">
      <w:pPr>
        <w:rPr>
          <w:rFonts w:ascii="Book Antiqua" w:hAnsi="Book Antiqua"/>
          <w:sz w:val="20"/>
          <w:szCs w:val="20"/>
        </w:rPr>
      </w:pPr>
    </w:p>
    <w:p w:rsidR="00B44AE5" w:rsidRDefault="00FE5844" w:rsidP="00872703">
      <w:pPr>
        <w:tabs>
          <w:tab w:val="left" w:pos="1200"/>
        </w:tabs>
        <w:jc w:val="center"/>
        <w:rPr>
          <w:rFonts w:ascii="Book Antiqua" w:hAnsi="Book Antiqua"/>
          <w:sz w:val="28"/>
          <w:szCs w:val="28"/>
        </w:rPr>
      </w:pPr>
      <w:r>
        <w:rPr>
          <w:rFonts w:ascii="Book Antiqua" w:hAnsi="Book Antiqua"/>
          <w:sz w:val="28"/>
          <w:szCs w:val="28"/>
        </w:rPr>
        <w:t xml:space="preserve">Preach: to proclaim, to declare in public, give a sermon from the gospel... To give moral or religious advice... to expound or proclaim by </w:t>
      </w:r>
      <w:r w:rsidR="00872703">
        <w:rPr>
          <w:rFonts w:ascii="Book Antiqua" w:hAnsi="Book Antiqua"/>
          <w:sz w:val="28"/>
          <w:szCs w:val="28"/>
        </w:rPr>
        <w:lastRenderedPageBreak/>
        <w:t>preaching,</w:t>
      </w:r>
      <w:r>
        <w:rPr>
          <w:rFonts w:ascii="Book Antiqua" w:hAnsi="Book Antiqua"/>
          <w:sz w:val="28"/>
          <w:szCs w:val="28"/>
        </w:rPr>
        <w:t xml:space="preserve"> to urge strongly or </w:t>
      </w:r>
      <w:r w:rsidR="00872703">
        <w:rPr>
          <w:rFonts w:ascii="Book Antiqua" w:hAnsi="Book Antiqua"/>
          <w:sz w:val="28"/>
          <w:szCs w:val="28"/>
        </w:rPr>
        <w:t>persistently...”</w:t>
      </w:r>
      <w:r>
        <w:rPr>
          <w:rStyle w:val="FootnoteReference"/>
          <w:rFonts w:ascii="Book Antiqua" w:hAnsi="Book Antiqua"/>
          <w:sz w:val="28"/>
          <w:szCs w:val="28"/>
        </w:rPr>
        <w:footnoteReference w:id="4"/>
      </w:r>
      <w:r w:rsidR="00872703">
        <w:rPr>
          <w:rFonts w:ascii="Book Antiqua" w:hAnsi="Book Antiqua"/>
          <w:sz w:val="28"/>
          <w:szCs w:val="28"/>
        </w:rPr>
        <w:t xml:space="preserve"> </w:t>
      </w:r>
      <w:r w:rsidR="00B44AE5">
        <w:rPr>
          <w:rFonts w:ascii="Book Antiqua" w:hAnsi="Book Antiqua"/>
          <w:sz w:val="28"/>
          <w:szCs w:val="28"/>
        </w:rPr>
        <w:t>Eno</w:t>
      </w:r>
      <w:r w:rsidR="00872703">
        <w:rPr>
          <w:rFonts w:ascii="Book Antiqua" w:hAnsi="Book Antiqua"/>
          <w:sz w:val="28"/>
          <w:szCs w:val="28"/>
        </w:rPr>
        <w:t>ugh said, time to “Go ye therefore...”</w:t>
      </w:r>
      <w:r w:rsidR="00B44AE5">
        <w:rPr>
          <w:rFonts w:ascii="Book Antiqua" w:hAnsi="Book Antiqua"/>
          <w:sz w:val="28"/>
          <w:szCs w:val="28"/>
        </w:rPr>
        <w:t xml:space="preserve"> </w:t>
      </w:r>
      <w:r w:rsidR="008E2E34">
        <w:rPr>
          <w:rStyle w:val="FootnoteReference"/>
          <w:rFonts w:ascii="Book Antiqua" w:hAnsi="Book Antiqua"/>
          <w:sz w:val="28"/>
          <w:szCs w:val="28"/>
        </w:rPr>
        <w:footnoteReference w:id="5"/>
      </w:r>
      <w:r w:rsidR="003A7FC1">
        <w:rPr>
          <w:rFonts w:ascii="Book Antiqua" w:hAnsi="Book Antiqua"/>
          <w:sz w:val="28"/>
          <w:szCs w:val="28"/>
        </w:rPr>
        <w:t xml:space="preserve"> KJV</w:t>
      </w:r>
    </w:p>
    <w:p w:rsidR="008A4DC0" w:rsidRDefault="008A4DC0" w:rsidP="00FE5844">
      <w:pPr>
        <w:tabs>
          <w:tab w:val="left" w:pos="1200"/>
        </w:tabs>
        <w:rPr>
          <w:rFonts w:ascii="Book Antiqua" w:hAnsi="Book Antiqua"/>
          <w:sz w:val="28"/>
          <w:szCs w:val="28"/>
        </w:rPr>
      </w:pPr>
    </w:p>
    <w:p w:rsidR="008A4DC0" w:rsidRPr="00FE5844" w:rsidRDefault="008A4DC0" w:rsidP="008A4DC0">
      <w:pPr>
        <w:tabs>
          <w:tab w:val="left" w:pos="1200"/>
        </w:tabs>
        <w:jc w:val="right"/>
        <w:rPr>
          <w:rFonts w:ascii="Book Antiqua" w:hAnsi="Book Antiqua"/>
          <w:sz w:val="28"/>
          <w:szCs w:val="28"/>
        </w:rPr>
      </w:pPr>
      <w:r>
        <w:rPr>
          <w:rFonts w:ascii="Book Antiqua" w:hAnsi="Book Antiqua"/>
          <w:noProof/>
          <w:sz w:val="28"/>
          <w:szCs w:val="28"/>
        </w:rPr>
        <w:drawing>
          <wp:inline distT="0" distB="0" distL="0" distR="0">
            <wp:extent cx="627018" cy="73152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ve in Flight.jpg"/>
                    <pic:cNvPicPr/>
                  </pic:nvPicPr>
                  <pic:blipFill>
                    <a:blip r:embed="rId7">
                      <a:extLst>
                        <a:ext uri="{28A0092B-C50C-407E-A947-70E740481C1C}">
                          <a14:useLocalDpi xmlns:a14="http://schemas.microsoft.com/office/drawing/2010/main" val="0"/>
                        </a:ext>
                      </a:extLst>
                    </a:blip>
                    <a:stretch>
                      <a:fillRect/>
                    </a:stretch>
                  </pic:blipFill>
                  <pic:spPr>
                    <a:xfrm>
                      <a:off x="0" y="0"/>
                      <a:ext cx="627018" cy="731520"/>
                    </a:xfrm>
                    <a:prstGeom prst="rect">
                      <a:avLst/>
                    </a:prstGeom>
                  </pic:spPr>
                </pic:pic>
              </a:graphicData>
            </a:graphic>
          </wp:inline>
        </w:drawing>
      </w:r>
    </w:p>
    <w:sectPr w:rsidR="008A4DC0" w:rsidRPr="00FE5844" w:rsidSect="00195CE3">
      <w:footerReference w:type="default" r:id="rId8"/>
      <w:pgSz w:w="7920" w:h="12240" w:orient="landscape"/>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511" w:rsidRDefault="00E90511" w:rsidP="00D06C54">
      <w:pPr>
        <w:spacing w:after="0" w:line="240" w:lineRule="auto"/>
      </w:pPr>
      <w:r>
        <w:separator/>
      </w:r>
    </w:p>
  </w:endnote>
  <w:endnote w:type="continuationSeparator" w:id="0">
    <w:p w:rsidR="00E90511" w:rsidRDefault="00E90511" w:rsidP="00D0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803470"/>
      <w:docPartObj>
        <w:docPartGallery w:val="Page Numbers (Bottom of Page)"/>
        <w:docPartUnique/>
      </w:docPartObj>
    </w:sdtPr>
    <w:sdtEndPr>
      <w:rPr>
        <w:noProof/>
      </w:rPr>
    </w:sdtEndPr>
    <w:sdtContent>
      <w:p w:rsidR="00C248BB" w:rsidRDefault="00C248BB">
        <w:pPr>
          <w:pStyle w:val="Footer"/>
          <w:jc w:val="center"/>
        </w:pPr>
        <w:r>
          <w:fldChar w:fldCharType="begin"/>
        </w:r>
        <w:r>
          <w:instrText xml:space="preserve"> PAGE   \* MERGEFORMAT </w:instrText>
        </w:r>
        <w:r>
          <w:fldChar w:fldCharType="separate"/>
        </w:r>
        <w:r w:rsidR="00324964">
          <w:rPr>
            <w:noProof/>
          </w:rPr>
          <w:t>4</w:t>
        </w:r>
        <w:r>
          <w:rPr>
            <w:noProof/>
          </w:rPr>
          <w:fldChar w:fldCharType="end"/>
        </w:r>
      </w:p>
    </w:sdtContent>
  </w:sdt>
  <w:p w:rsidR="00A067EE" w:rsidRDefault="00A06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511" w:rsidRDefault="00E90511" w:rsidP="00D06C54">
      <w:pPr>
        <w:spacing w:after="0" w:line="240" w:lineRule="auto"/>
      </w:pPr>
      <w:r>
        <w:separator/>
      </w:r>
    </w:p>
  </w:footnote>
  <w:footnote w:type="continuationSeparator" w:id="0">
    <w:p w:rsidR="00E90511" w:rsidRDefault="00E90511" w:rsidP="00D06C54">
      <w:pPr>
        <w:spacing w:after="0" w:line="240" w:lineRule="auto"/>
      </w:pPr>
      <w:r>
        <w:continuationSeparator/>
      </w:r>
    </w:p>
  </w:footnote>
  <w:footnote w:id="1">
    <w:p w:rsidR="00D06C54" w:rsidRDefault="00D06C54">
      <w:pPr>
        <w:pStyle w:val="FootnoteText"/>
      </w:pPr>
      <w:r>
        <w:rPr>
          <w:rStyle w:val="FootnoteReference"/>
        </w:rPr>
        <w:footnoteRef/>
      </w:r>
      <w:r>
        <w:t xml:space="preserve"> </w:t>
      </w:r>
      <w:r w:rsidRPr="00D06C54">
        <w:rPr>
          <w:u w:val="single"/>
        </w:rPr>
        <w:t>The New Lexicon Webster’s Dictionary</w:t>
      </w:r>
      <w:r>
        <w:t xml:space="preserve">, (Encyclopedia Ed.) New York, </w:t>
      </w:r>
    </w:p>
    <w:p w:rsidR="00D06C54" w:rsidRDefault="00D06C54">
      <w:pPr>
        <w:pStyle w:val="FootnoteText"/>
      </w:pPr>
      <w:r>
        <w:t xml:space="preserve">  Lexicon Publishers Inc., 1989, p. 914.</w:t>
      </w:r>
    </w:p>
  </w:footnote>
  <w:footnote w:id="2">
    <w:p w:rsidR="00BC162C" w:rsidRDefault="00BC162C">
      <w:pPr>
        <w:pStyle w:val="FootnoteText"/>
      </w:pPr>
      <w:r>
        <w:rPr>
          <w:rStyle w:val="FootnoteReference"/>
        </w:rPr>
        <w:footnoteRef/>
      </w:r>
      <w:r>
        <w:t xml:space="preserve"> </w:t>
      </w:r>
      <w:r w:rsidRPr="00BC162C">
        <w:rPr>
          <w:u w:val="single"/>
        </w:rPr>
        <w:t>Seventh-day Adventist Bible Commentary</w:t>
      </w:r>
      <w:r>
        <w:t>, Vol. 5, pp. 498, 499.</w:t>
      </w:r>
    </w:p>
  </w:footnote>
  <w:footnote w:id="3">
    <w:p w:rsidR="002F01B0" w:rsidRDefault="002F01B0">
      <w:pPr>
        <w:pStyle w:val="FootnoteText"/>
      </w:pPr>
      <w:r>
        <w:rPr>
          <w:rStyle w:val="FootnoteReference"/>
        </w:rPr>
        <w:footnoteRef/>
      </w:r>
      <w:r>
        <w:t xml:space="preserve"> E. G. White. </w:t>
      </w:r>
      <w:r w:rsidRPr="00FE5844">
        <w:rPr>
          <w:u w:val="single"/>
        </w:rPr>
        <w:t>The Acts of the Apostles</w:t>
      </w:r>
      <w:r>
        <w:t>, p. 111.</w:t>
      </w:r>
    </w:p>
  </w:footnote>
  <w:footnote w:id="4">
    <w:p w:rsidR="00FE5844" w:rsidRDefault="00FE5844">
      <w:pPr>
        <w:pStyle w:val="FootnoteText"/>
      </w:pPr>
      <w:r>
        <w:rPr>
          <w:rStyle w:val="FootnoteReference"/>
        </w:rPr>
        <w:footnoteRef/>
      </w:r>
      <w:r>
        <w:t xml:space="preserve"> </w:t>
      </w:r>
      <w:r w:rsidRPr="00FE5844">
        <w:rPr>
          <w:u w:val="single"/>
        </w:rPr>
        <w:t>Webster’s New World Dictionary</w:t>
      </w:r>
      <w:r>
        <w:t xml:space="preserve">, (College Ed.)  Cleveland &amp; New York, </w:t>
      </w:r>
    </w:p>
    <w:p w:rsidR="00FE5844" w:rsidRDefault="00FE5844">
      <w:pPr>
        <w:pStyle w:val="FootnoteText"/>
      </w:pPr>
      <w:r>
        <w:t xml:space="preserve">  The World Publishing Co., </w:t>
      </w:r>
      <w:r w:rsidR="00AE05D9">
        <w:t>1964, p. 1147.</w:t>
      </w:r>
    </w:p>
  </w:footnote>
  <w:footnote w:id="5">
    <w:p w:rsidR="008E2E34" w:rsidRDefault="008E2E34">
      <w:pPr>
        <w:pStyle w:val="FootnoteText"/>
      </w:pPr>
      <w:r>
        <w:rPr>
          <w:rStyle w:val="FootnoteReference"/>
        </w:rPr>
        <w:footnoteRef/>
      </w:r>
      <w:r>
        <w:t xml:space="preserve"> Matthew 28:18-20.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53"/>
    <w:rsid w:val="0003643F"/>
    <w:rsid w:val="00090B6D"/>
    <w:rsid w:val="00155C3E"/>
    <w:rsid w:val="00195CE3"/>
    <w:rsid w:val="002F01B0"/>
    <w:rsid w:val="00306150"/>
    <w:rsid w:val="00324964"/>
    <w:rsid w:val="00333A1D"/>
    <w:rsid w:val="003562A3"/>
    <w:rsid w:val="003A7FC1"/>
    <w:rsid w:val="00470392"/>
    <w:rsid w:val="00492F1C"/>
    <w:rsid w:val="004D1F1C"/>
    <w:rsid w:val="005955F3"/>
    <w:rsid w:val="005D102B"/>
    <w:rsid w:val="005D122F"/>
    <w:rsid w:val="00630C72"/>
    <w:rsid w:val="00720879"/>
    <w:rsid w:val="00733BEE"/>
    <w:rsid w:val="007D4D65"/>
    <w:rsid w:val="007E4576"/>
    <w:rsid w:val="0084236D"/>
    <w:rsid w:val="00872703"/>
    <w:rsid w:val="008A4DC0"/>
    <w:rsid w:val="008E2E34"/>
    <w:rsid w:val="00A067EE"/>
    <w:rsid w:val="00A15C2D"/>
    <w:rsid w:val="00A9764D"/>
    <w:rsid w:val="00AE05D9"/>
    <w:rsid w:val="00B0609A"/>
    <w:rsid w:val="00B44AE5"/>
    <w:rsid w:val="00B60C60"/>
    <w:rsid w:val="00B71212"/>
    <w:rsid w:val="00BC162C"/>
    <w:rsid w:val="00BE630B"/>
    <w:rsid w:val="00BF7A31"/>
    <w:rsid w:val="00C248BB"/>
    <w:rsid w:val="00D06C54"/>
    <w:rsid w:val="00D7289F"/>
    <w:rsid w:val="00D97953"/>
    <w:rsid w:val="00DC3F73"/>
    <w:rsid w:val="00DF5196"/>
    <w:rsid w:val="00E051FF"/>
    <w:rsid w:val="00E31040"/>
    <w:rsid w:val="00E614D0"/>
    <w:rsid w:val="00E90511"/>
    <w:rsid w:val="00F168B0"/>
    <w:rsid w:val="00F77F71"/>
    <w:rsid w:val="00FB4D6D"/>
    <w:rsid w:val="00FE3D03"/>
    <w:rsid w:val="00FE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6691F-4837-4C3C-B864-E02D6E85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1040"/>
    <w:rPr>
      <w:sz w:val="16"/>
      <w:szCs w:val="16"/>
    </w:rPr>
  </w:style>
  <w:style w:type="paragraph" w:styleId="CommentText">
    <w:name w:val="annotation text"/>
    <w:basedOn w:val="Normal"/>
    <w:link w:val="CommentTextChar"/>
    <w:uiPriority w:val="99"/>
    <w:semiHidden/>
    <w:unhideWhenUsed/>
    <w:rsid w:val="00E31040"/>
    <w:pPr>
      <w:spacing w:line="240" w:lineRule="auto"/>
    </w:pPr>
    <w:rPr>
      <w:sz w:val="20"/>
      <w:szCs w:val="20"/>
    </w:rPr>
  </w:style>
  <w:style w:type="character" w:customStyle="1" w:styleId="CommentTextChar">
    <w:name w:val="Comment Text Char"/>
    <w:basedOn w:val="DefaultParagraphFont"/>
    <w:link w:val="CommentText"/>
    <w:uiPriority w:val="99"/>
    <w:semiHidden/>
    <w:rsid w:val="00E31040"/>
    <w:rPr>
      <w:sz w:val="20"/>
      <w:szCs w:val="20"/>
    </w:rPr>
  </w:style>
  <w:style w:type="paragraph" w:styleId="CommentSubject">
    <w:name w:val="annotation subject"/>
    <w:basedOn w:val="CommentText"/>
    <w:next w:val="CommentText"/>
    <w:link w:val="CommentSubjectChar"/>
    <w:uiPriority w:val="99"/>
    <w:semiHidden/>
    <w:unhideWhenUsed/>
    <w:rsid w:val="00E31040"/>
    <w:rPr>
      <w:b/>
      <w:bCs/>
    </w:rPr>
  </w:style>
  <w:style w:type="character" w:customStyle="1" w:styleId="CommentSubjectChar">
    <w:name w:val="Comment Subject Char"/>
    <w:basedOn w:val="CommentTextChar"/>
    <w:link w:val="CommentSubject"/>
    <w:uiPriority w:val="99"/>
    <w:semiHidden/>
    <w:rsid w:val="00E31040"/>
    <w:rPr>
      <w:b/>
      <w:bCs/>
      <w:sz w:val="20"/>
      <w:szCs w:val="20"/>
    </w:rPr>
  </w:style>
  <w:style w:type="paragraph" w:styleId="BalloonText">
    <w:name w:val="Balloon Text"/>
    <w:basedOn w:val="Normal"/>
    <w:link w:val="BalloonTextChar"/>
    <w:uiPriority w:val="99"/>
    <w:semiHidden/>
    <w:unhideWhenUsed/>
    <w:rsid w:val="00E31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40"/>
    <w:rPr>
      <w:rFonts w:ascii="Segoe UI" w:hAnsi="Segoe UI" w:cs="Segoe UI"/>
      <w:sz w:val="18"/>
      <w:szCs w:val="18"/>
    </w:rPr>
  </w:style>
  <w:style w:type="paragraph" w:styleId="FootnoteText">
    <w:name w:val="footnote text"/>
    <w:basedOn w:val="Normal"/>
    <w:link w:val="FootnoteTextChar"/>
    <w:uiPriority w:val="99"/>
    <w:semiHidden/>
    <w:unhideWhenUsed/>
    <w:rsid w:val="00D06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6C54"/>
    <w:rPr>
      <w:sz w:val="20"/>
      <w:szCs w:val="20"/>
    </w:rPr>
  </w:style>
  <w:style w:type="character" w:styleId="FootnoteReference">
    <w:name w:val="footnote reference"/>
    <w:basedOn w:val="DefaultParagraphFont"/>
    <w:uiPriority w:val="99"/>
    <w:semiHidden/>
    <w:unhideWhenUsed/>
    <w:rsid w:val="00D06C54"/>
    <w:rPr>
      <w:vertAlign w:val="superscript"/>
    </w:rPr>
  </w:style>
  <w:style w:type="paragraph" w:styleId="Header">
    <w:name w:val="header"/>
    <w:basedOn w:val="Normal"/>
    <w:link w:val="HeaderChar"/>
    <w:uiPriority w:val="99"/>
    <w:unhideWhenUsed/>
    <w:rsid w:val="00A06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7EE"/>
  </w:style>
  <w:style w:type="paragraph" w:styleId="Footer">
    <w:name w:val="footer"/>
    <w:basedOn w:val="Normal"/>
    <w:link w:val="FooterChar"/>
    <w:uiPriority w:val="99"/>
    <w:unhideWhenUsed/>
    <w:rsid w:val="00A06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712DF-BDA7-418A-8A7D-8AE01BC0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dc:creator>
  <cp:keywords/>
  <dc:description/>
  <cp:lastModifiedBy>Ewell</cp:lastModifiedBy>
  <cp:revision>32</cp:revision>
  <dcterms:created xsi:type="dcterms:W3CDTF">2019-11-04T16:59:00Z</dcterms:created>
  <dcterms:modified xsi:type="dcterms:W3CDTF">2019-11-07T13:02:00Z</dcterms:modified>
</cp:coreProperties>
</file>